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header1.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uto" w:line="312" w:before="0" w:after="288"/>
        <w:jc w:val="center"/>
        <w:rPr>
          <w:rFonts w:ascii="Arial" w:hAnsi="Arial" w:cs="Arial"/>
          <w:b/>
          <w:b/>
          <w:bCs/>
          <w:color w:val="000000" w:themeColor="text1"/>
          <w:sz w:val="22"/>
          <w:szCs w:val="22"/>
        </w:rPr>
      </w:pPr>
      <w:r>
        <w:rPr>
          <w:rFonts w:cs="Times New Roman" w:ascii="Times New Roman" w:hAnsi="Times New Roman"/>
          <w:b/>
          <w:bCs/>
          <w:color w:val="000000" w:themeColor="text1"/>
          <w:sz w:val="22"/>
          <w:szCs w:val="22"/>
        </w:rPr>
        <w:t>ANEXO II – MINUTA DE TERMO DE CONTRATO</w:t>
      </w:r>
    </w:p>
    <w:p>
      <w:pPr>
        <w:pStyle w:val="Normal"/>
        <w:spacing w:lineRule="auto" w:line="360"/>
        <w:jc w:val="center"/>
        <w:rPr/>
      </w:pPr>
      <w:r>
        <w:rPr/>
        <w:drawing>
          <wp:inline distT="0" distB="0" distL="0" distR="0">
            <wp:extent cx="739140" cy="730250"/>
            <wp:effectExtent l="0" t="0" r="0" b="0"/>
            <wp:docPr id="1"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4" descr=""/>
                    <pic:cNvPicPr>
                      <a:picLocks noChangeAspect="1" noChangeArrowheads="1"/>
                    </pic:cNvPicPr>
                  </pic:nvPicPr>
                  <pic:blipFill>
                    <a:blip r:embed="rId2"/>
                    <a:srcRect l="-66" t="-84" r="-66" b="-84"/>
                    <a:stretch>
                      <a:fillRect/>
                    </a:stretch>
                  </pic:blipFill>
                  <pic:spPr bwMode="auto">
                    <a:xfrm>
                      <a:off x="0" y="0"/>
                      <a:ext cx="739140" cy="730250"/>
                    </a:xfrm>
                    <a:prstGeom prst="rect">
                      <a:avLst/>
                    </a:prstGeom>
                  </pic:spPr>
                </pic:pic>
              </a:graphicData>
            </a:graphic>
          </wp:inline>
        </w:drawing>
      </w:r>
    </w:p>
    <w:p>
      <w:pPr>
        <w:pStyle w:val="LONormal1"/>
        <w:rPr>
          <w:rFonts w:ascii="Times New Roman" w:hAnsi="Times New Roman"/>
          <w:b/>
          <w:b/>
          <w:bCs/>
          <w:sz w:val="20"/>
          <w:szCs w:val="20"/>
        </w:rPr>
      </w:pPr>
      <w:r>
        <w:rPr>
          <w:rFonts w:eastAsia="Times New Roman" w:cs="Arial"/>
          <w:b/>
          <w:bCs/>
          <w:color w:val="000000"/>
          <w:sz w:val="20"/>
          <w:szCs w:val="20"/>
          <w:lang w:eastAsia="pt-BR"/>
        </w:rPr>
        <w:t>MINISTÉRIO DA DEFESA</w:t>
      </w:r>
    </w:p>
    <w:p>
      <w:pPr>
        <w:pStyle w:val="LONormal1"/>
        <w:rPr>
          <w:rFonts w:ascii="Times New Roman" w:hAnsi="Times New Roman"/>
          <w:b/>
          <w:b/>
          <w:bCs/>
          <w:sz w:val="20"/>
          <w:szCs w:val="20"/>
        </w:rPr>
      </w:pPr>
      <w:r>
        <w:rPr>
          <w:rFonts w:eastAsia="Times New Roman" w:cs="Arial"/>
          <w:b/>
          <w:bCs/>
          <w:color w:val="000000"/>
          <w:sz w:val="20"/>
          <w:szCs w:val="20"/>
          <w:lang w:eastAsia="pt-BR"/>
        </w:rPr>
        <w:t>EXÉRCITO BRASILEIRO</w:t>
      </w:r>
    </w:p>
    <w:p>
      <w:pPr>
        <w:pStyle w:val="LONormal1"/>
        <w:rPr>
          <w:rFonts w:ascii="Times New Roman" w:hAnsi="Times New Roman"/>
          <w:b/>
          <w:b/>
          <w:bCs/>
          <w:sz w:val="20"/>
          <w:szCs w:val="20"/>
        </w:rPr>
      </w:pPr>
      <w:r>
        <w:rPr>
          <w:rFonts w:eastAsia="Times New Roman" w:cs="Arial"/>
          <w:b/>
          <w:bCs/>
          <w:color w:val="000000"/>
          <w:sz w:val="20"/>
          <w:szCs w:val="20"/>
          <w:lang w:eastAsia="pt-BR"/>
        </w:rPr>
        <w:t>COMANDO MILITAR DO LESTE</w:t>
      </w:r>
    </w:p>
    <w:p>
      <w:pPr>
        <w:pStyle w:val="LONormal1"/>
        <w:rPr>
          <w:rFonts w:ascii="Times New Roman" w:hAnsi="Times New Roman"/>
          <w:b/>
          <w:b/>
          <w:bCs/>
          <w:sz w:val="20"/>
          <w:szCs w:val="20"/>
        </w:rPr>
      </w:pPr>
      <w:r>
        <w:rPr>
          <w:rFonts w:eastAsia="Times New Roman" w:cs="Arial"/>
          <w:b/>
          <w:bCs/>
          <w:color w:val="000000"/>
          <w:sz w:val="20"/>
          <w:szCs w:val="20"/>
          <w:lang w:eastAsia="pt-BR"/>
        </w:rPr>
        <w:t>COMANDO DA 1ª REGIÃO MILITAR</w:t>
      </w:r>
    </w:p>
    <w:p>
      <w:pPr>
        <w:pStyle w:val="LONormal1"/>
        <w:rPr>
          <w:rFonts w:ascii="Times New Roman" w:hAnsi="Times New Roman"/>
          <w:b/>
          <w:b/>
          <w:bCs/>
          <w:sz w:val="20"/>
          <w:szCs w:val="20"/>
        </w:rPr>
      </w:pPr>
      <w:r>
        <w:rPr>
          <w:rFonts w:eastAsia="Times New Roman" w:cs="Arial"/>
          <w:b/>
          <w:bCs/>
          <w:color w:val="000000"/>
          <w:sz w:val="20"/>
          <w:szCs w:val="20"/>
          <w:lang w:eastAsia="pt-BR"/>
        </w:rPr>
        <w:t>BASE ADMINISTRATIVA DO COMPLEXO DE SAÚDE DO RIO DE JANEIRO</w:t>
      </w:r>
    </w:p>
    <w:p>
      <w:pPr>
        <w:pStyle w:val="Normal"/>
        <w:jc w:val="center"/>
        <w:rPr>
          <w:rFonts w:ascii="Times New Roman" w:hAnsi="Times New Roman" w:cs="Arial"/>
          <w:b/>
          <w:b/>
          <w:bCs/>
          <w:color w:val="000000"/>
          <w:sz w:val="20"/>
          <w:szCs w:val="20"/>
        </w:rPr>
      </w:pPr>
      <w:r>
        <w:rPr>
          <w:rFonts w:cs="Arial" w:ascii="Times New Roman" w:hAnsi="Times New Roman"/>
          <w:b/>
          <w:bCs/>
          <w:color w:val="000000"/>
          <w:sz w:val="20"/>
          <w:szCs w:val="20"/>
        </w:rPr>
      </w:r>
    </w:p>
    <w:p>
      <w:pPr>
        <w:pStyle w:val="Normal"/>
        <w:jc w:val="center"/>
        <w:rPr/>
      </w:pPr>
      <w:r>
        <w:rPr>
          <w:rFonts w:cs="Arial" w:ascii="Times New Roman" w:hAnsi="Times New Roman"/>
          <w:b w:val="false"/>
          <w:bCs w:val="false"/>
          <w:color w:val="000000"/>
        </w:rPr>
        <w:t>PREGÃO ELETRÔNICO Nº 90059/2024</w:t>
      </w:r>
    </w:p>
    <w:p>
      <w:pPr>
        <w:pStyle w:val="Normal"/>
        <w:jc w:val="center"/>
        <w:rPr/>
      </w:pPr>
      <w:r>
        <w:rPr>
          <w:rFonts w:cs="Arial" w:ascii="Times New Roman" w:hAnsi="Times New Roman"/>
          <w:b w:val="false"/>
          <w:bCs w:val="false"/>
          <w:color w:val="000000"/>
        </w:rPr>
        <w:t>(Processo Administrativo n° 65475.005434/2024-41)</w:t>
      </w:r>
    </w:p>
    <w:p>
      <w:pPr>
        <w:pStyle w:val="Prembulo"/>
        <w:spacing w:lineRule="auto" w:line="312" w:before="120" w:after="288"/>
        <w:rPr>
          <w:bCs w:val="false"/>
          <w:sz w:val="24"/>
          <w:szCs w:val="24"/>
        </w:rPr>
      </w:pPr>
      <w:r>
        <w:rPr>
          <w:bCs w:val="false"/>
          <w:sz w:val="24"/>
          <w:szCs w:val="24"/>
        </w:rPr>
      </w:r>
    </w:p>
    <w:p>
      <w:pPr>
        <w:pStyle w:val="Prembulo"/>
        <w:spacing w:lineRule="auto" w:line="312" w:before="120" w:after="288"/>
        <w:rPr>
          <w:rFonts w:ascii="Times New Roman" w:hAnsi="Times New Roman"/>
          <w:sz w:val="24"/>
          <w:szCs w:val="24"/>
        </w:rPr>
      </w:pPr>
      <w:r>
        <w:rPr>
          <w:rFonts w:ascii="Times New Roman" w:hAnsi="Times New Roman"/>
          <w:bCs w:val="false"/>
          <w:sz w:val="24"/>
          <w:szCs w:val="24"/>
        </w:rPr>
        <w:t>CONTRATO ADMINISTRATIVO Nº .........., QUE FAZEM ENTRE SI A UNIÃO, POR INTERMÉDIO DO (A) BASE ADMINISTRATIVA DO COMPLEXO DE SAÚDE DO RIO DE JANEIRO E ..........................................................................................</w:t>
      </w:r>
    </w:p>
    <w:p>
      <w:pPr>
        <w:pStyle w:val="Normal"/>
        <w:spacing w:lineRule="auto" w:line="276" w:before="120" w:after="120"/>
        <w:ind w:firstLine="1418"/>
        <w:jc w:val="both"/>
        <w:rPr/>
      </w:pPr>
      <w:r>
        <w:rPr>
          <w:rFonts w:eastAsia="Arial" w:cs="Arial" w:ascii="Times New Roman" w:hAnsi="Times New Roman"/>
        </w:rPr>
        <w:t>A União por intermédio do(a) Ministério da Defesa/ Exército Brasileiro/ Base Administrativa do Complexo da S</w:t>
      </w:r>
      <w:bookmarkStart w:id="0" w:name="_GoBack"/>
      <w:bookmarkEnd w:id="0"/>
      <w:r>
        <w:rPr>
          <w:rFonts w:eastAsia="Arial" w:cs="Arial" w:ascii="Times New Roman" w:hAnsi="Times New Roman"/>
        </w:rPr>
        <w:t xml:space="preserve">aúde do Rio de Janeiro, situado na Praça Duque de Caxias, Nº 25, 3º andar, Rio de Janeiro - R.J, CEP 20.221-260, inscrito no CNPJ sob o nº 37.088.373/0001-76, Órgão do Ministério da Defesa, representado neste ato pelo Ordenador de Despesas Sr. ALAN MARTINS GOMES Cel Art, CPF nº 201.719.648-70, doravante denominado CONTRATANTE, e o(a) .........................................................................., </w:t>
      </w:r>
      <w:r>
        <w:rPr>
          <w:rFonts w:eastAsia="Arial" w:cs="Arial" w:ascii="Times New Roman" w:hAnsi="Times New Roman"/>
          <w:iCs/>
        </w:rPr>
        <w:t>inscrito(a) no CNPJ/MF sob o nº ............................, sediado(a) na</w:t>
      </w:r>
      <w:r>
        <w:rPr>
          <w:rFonts w:eastAsia="Arial" w:cs="Arial" w:ascii="Times New Roman" w:hAnsi="Times New Roman"/>
        </w:rPr>
        <w:t xml:space="preserve"> ..................................., doravante designado CONTRATADO, </w:t>
      </w:r>
      <w:r>
        <w:rPr>
          <w:rFonts w:eastAsia="Arial" w:cs="Arial" w:ascii="Times New Roman" w:hAnsi="Times New Roman"/>
          <w:iCs/>
        </w:rPr>
        <w:t>neste ato representado(a) por</w:t>
      </w:r>
      <w:r>
        <w:rPr>
          <w:rFonts w:eastAsia="Arial" w:cs="Arial" w:ascii="Times New Roman" w:hAnsi="Times New Roman"/>
        </w:rPr>
        <w:t xml:space="preserve"> .................................. (nome e função no contratado), </w:t>
      </w:r>
      <w:r>
        <w:rPr>
          <w:rFonts w:eastAsia="Arial" w:cs="Arial" w:ascii="Times New Roman" w:hAnsi="Times New Roman"/>
          <w:iCs/>
        </w:rPr>
        <w:t xml:space="preserve">conforme atos constitutivos da empresa </w:t>
      </w:r>
      <w:r>
        <w:rPr>
          <w:rFonts w:eastAsia="Arial" w:cs="Arial" w:ascii="Times New Roman" w:hAnsi="Times New Roman"/>
          <w:b/>
          <w:bCs/>
          <w:iCs/>
        </w:rPr>
        <w:t>ou</w:t>
      </w:r>
      <w:r>
        <w:rPr>
          <w:rFonts w:eastAsia="Arial" w:cs="Arial" w:ascii="Times New Roman" w:hAnsi="Times New Roman"/>
          <w:iCs/>
        </w:rPr>
        <w:t xml:space="preserve"> procuração apresentada nos autos,</w:t>
      </w:r>
      <w:r>
        <w:rPr>
          <w:rFonts w:eastAsia="Arial" w:cs="Arial" w:ascii="Times New Roman" w:hAnsi="Times New Roman"/>
          <w:i/>
          <w:iCs/>
        </w:rPr>
        <w:t xml:space="preserve"> </w:t>
      </w:r>
      <w:r>
        <w:rPr>
          <w:rFonts w:eastAsia="Arial" w:cs="Arial" w:ascii="Times New Roman" w:hAnsi="Times New Roman"/>
        </w:rPr>
        <w:t>tendo em vista o que consta no Processo n</w:t>
      </w:r>
      <w:r>
        <w:rPr>
          <w:rFonts w:cs="Arial" w:ascii="Times New Roman" w:hAnsi="Times New Roman"/>
          <w:bCs/>
          <w:color w:val="000000"/>
        </w:rPr>
        <w:t>°</w:t>
      </w:r>
      <w:r>
        <w:rPr>
          <w:rFonts w:cs="Arial" w:ascii="Times New Roman" w:hAnsi="Times New Roman"/>
          <w:b w:val="false"/>
          <w:bCs w:val="false"/>
          <w:color w:val="000000"/>
        </w:rPr>
        <w:t xml:space="preserve"> 65475.005434/2024-41</w:t>
      </w:r>
      <w:r>
        <w:rPr>
          <w:rFonts w:eastAsia="Arial" w:cs="Arial" w:ascii="Times New Roman" w:hAnsi="Times New Roman"/>
          <w:b w:val="false"/>
          <w:bCs w:val="false"/>
        </w:rPr>
        <w:t xml:space="preserve"> e em observância às disposições da </w:t>
      </w:r>
      <w:hyperlink r:id="rId3">
        <w:r>
          <w:rPr>
            <w:rStyle w:val="LinkdaInternet"/>
            <w:rFonts w:eastAsia="Arial" w:cs="Arial" w:ascii="Times New Roman" w:hAnsi="Times New Roman"/>
            <w:b w:val="false"/>
            <w:bCs w:val="false"/>
            <w:color w:val="auto"/>
            <w:u w:val="none"/>
          </w:rPr>
          <w:t>Lei nº 14.133, de 1º de abril de 2021</w:t>
        </w:r>
      </w:hyperlink>
      <w:r>
        <w:rPr>
          <w:rFonts w:eastAsia="Arial" w:cs="Arial" w:ascii="Times New Roman" w:hAnsi="Times New Roman"/>
          <w:b w:val="false"/>
          <w:bCs w:val="false"/>
        </w:rPr>
        <w:t xml:space="preserve">, e demais legislação aplicável, resolvem celebrar o presente Termo de Contrato, decorrente </w:t>
      </w:r>
      <w:r>
        <w:rPr>
          <w:rFonts w:eastAsia="Arial" w:cs="Arial" w:ascii="Times New Roman" w:hAnsi="Times New Roman"/>
          <w:b w:val="false"/>
          <w:bCs w:val="false"/>
          <w:iCs/>
        </w:rPr>
        <w:t>do Pregão Eletrônico nº 90059/2024</w:t>
      </w:r>
      <w:r>
        <w:rPr>
          <w:rFonts w:eastAsia="Arial" w:cs="Arial" w:ascii="Times New Roman" w:hAnsi="Times New Roman"/>
          <w:b w:val="false"/>
          <w:bCs w:val="false"/>
        </w:rPr>
        <w:t>, mediante as cláusulas e condições a seguir enunciadas.</w:t>
      </w:r>
    </w:p>
    <w:p>
      <w:pPr>
        <w:pStyle w:val="Nivel01"/>
        <w:rPr/>
      </w:pPr>
      <w:r>
        <w:rPr>
          <w:rFonts w:ascii="Times New Roman" w:hAnsi="Times New Roman"/>
          <w:b/>
          <w:bCs/>
          <w:sz w:val="24"/>
          <w:szCs w:val="24"/>
        </w:rPr>
        <w:t>1. CLÁUSULA PRIMEIRA – OBJETO</w:t>
      </w:r>
      <w:r>
        <w:rPr>
          <w:rFonts w:ascii="Times New Roman" w:hAnsi="Times New Roman"/>
          <w:b w:val="false"/>
          <w:bCs w:val="false"/>
          <w:sz w:val="24"/>
          <w:szCs w:val="24"/>
        </w:rPr>
        <w:t xml:space="preserve"> (</w:t>
      </w:r>
      <w:r>
        <w:fldChar w:fldCharType="begin"/>
      </w:r>
      <w:r>
        <w:rPr>
          <w:rStyle w:val="LinkdaInternet"/>
          <w:sz w:val="24"/>
          <w:u w:val="none"/>
          <w:b w:val="false"/>
          <w:szCs w:val="24"/>
          <w:bCs w:val="false"/>
          <w:rFonts w:ascii="Times New Roman" w:hAnsi="Times New Roman"/>
        </w:rPr>
        <w:instrText> HYPERLINK "http://www.planalto.gov.br/ccivil_03/_ato2019-2022/2021/lei/L14133.htm" \l "art92"</w:instrText>
      </w:r>
      <w:r>
        <w:rPr>
          <w:rStyle w:val="LinkdaInternet"/>
          <w:sz w:val="24"/>
          <w:u w:val="none"/>
          <w:b w:val="false"/>
          <w:szCs w:val="24"/>
          <w:bCs w:val="false"/>
          <w:rFonts w:ascii="Times New Roman" w:hAnsi="Times New Roman"/>
        </w:rPr>
        <w:fldChar w:fldCharType="separate"/>
      </w:r>
      <w:r>
        <w:rPr>
          <w:rStyle w:val="LinkdaInternet"/>
          <w:rFonts w:ascii="Times New Roman" w:hAnsi="Times New Roman"/>
          <w:b w:val="false"/>
          <w:bCs w:val="false"/>
          <w:color w:val="auto"/>
          <w:sz w:val="24"/>
          <w:szCs w:val="24"/>
          <w:u w:val="none"/>
        </w:rPr>
        <w:t>art. 92, I e II</w:t>
      </w:r>
      <w:r>
        <w:rPr>
          <w:rStyle w:val="LinkdaInternet"/>
          <w:sz w:val="24"/>
          <w:u w:val="none"/>
          <w:b w:val="false"/>
          <w:szCs w:val="24"/>
          <w:bCs w:val="false"/>
          <w:rFonts w:ascii="Times New Roman" w:hAnsi="Times New Roman"/>
        </w:rPr>
        <w:fldChar w:fldCharType="end"/>
      </w:r>
      <w:r>
        <w:rPr>
          <w:rFonts w:ascii="Times New Roman" w:hAnsi="Times New Roman"/>
          <w:b w:val="false"/>
          <w:bCs w:val="false"/>
          <w:sz w:val="24"/>
          <w:szCs w:val="24"/>
        </w:rPr>
        <w:t>)</w:t>
      </w:r>
    </w:p>
    <w:p>
      <w:pPr>
        <w:pStyle w:val="Nivel2"/>
        <w:tabs>
          <w:tab w:val="left" w:pos="450" w:leader="none"/>
        </w:tabs>
        <w:rPr/>
      </w:pPr>
      <w:r>
        <w:rPr>
          <w:rFonts w:ascii="Times New Roman" w:hAnsi="Times New Roman"/>
          <w:b w:val="false"/>
          <w:bCs w:val="false"/>
          <w:color w:val="auto"/>
          <w:sz w:val="24"/>
          <w:szCs w:val="24"/>
        </w:rPr>
        <w:t xml:space="preserve">1.1. O objeto do presente Termo de Contrato é a </w:t>
      </w:r>
      <w:r>
        <w:rPr>
          <w:rFonts w:cs="Times New Roman" w:ascii="Times New Roman" w:hAnsi="Times New Roman"/>
          <w:b w:val="false"/>
          <w:bCs w:val="false"/>
          <w:color w:val="auto"/>
          <w:sz w:val="24"/>
          <w:szCs w:val="24"/>
        </w:rPr>
        <w:t>Aquisição de Material de Medicamentos Classificados como Quimioterápicos, utilizados no Tratamento de Neoplasias de Alta Incidência, para a Base Administrativado Complexo de Saúde do Rio de Janeiro com o objetivo de atender às demandas do Hospital Central do Exército – (HCE).</w:t>
      </w:r>
    </w:p>
    <w:p>
      <w:pPr>
        <w:pStyle w:val="Nivel2"/>
        <w:tabs>
          <w:tab w:val="left" w:pos="505" w:leader="none"/>
        </w:tabs>
        <w:rPr>
          <w:rFonts w:ascii="Times New Roman" w:hAnsi="Times New Roman"/>
          <w:color w:val="auto"/>
          <w:sz w:val="24"/>
          <w:szCs w:val="24"/>
        </w:rPr>
      </w:pPr>
      <w:r>
        <w:rPr>
          <w:rFonts w:ascii="Times New Roman" w:hAnsi="Times New Roman"/>
          <w:b w:val="false"/>
          <w:bCs w:val="false"/>
          <w:color w:val="auto"/>
          <w:sz w:val="24"/>
          <w:szCs w:val="24"/>
        </w:rPr>
        <w:t>1.2. Objeto da contratação:</w:t>
      </w:r>
    </w:p>
    <w:p>
      <w:pPr>
        <w:pStyle w:val="Nivel2"/>
        <w:tabs>
          <w:tab w:val="left" w:pos="505" w:leader="none"/>
        </w:tabs>
        <w:rPr>
          <w:rFonts w:ascii="Times New Roman" w:hAnsi="Times New Roman"/>
          <w:b w:val="false"/>
          <w:b w:val="false"/>
          <w:bCs w:val="false"/>
          <w:color w:val="auto"/>
          <w:sz w:val="24"/>
          <w:szCs w:val="24"/>
        </w:rPr>
      </w:pPr>
      <w:r>
        <w:rPr>
          <w:rFonts w:ascii="Times New Roman" w:hAnsi="Times New Roman"/>
          <w:b w:val="false"/>
          <w:bCs w:val="false"/>
          <w:color w:val="auto"/>
          <w:sz w:val="24"/>
          <w:szCs w:val="24"/>
        </w:rPr>
      </w:r>
    </w:p>
    <w:tbl>
      <w:tblPr>
        <w:tblW w:w="9505" w:type="dxa"/>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noVBand="1" w:val="04a0" w:noHBand="0" w:lastColumn="0" w:firstColumn="1" w:lastRow="0" w:firstRow="1"/>
      </w:tblPr>
      <w:tblGrid>
        <w:gridCol w:w="844"/>
        <w:gridCol w:w="1993"/>
        <w:gridCol w:w="1241"/>
        <w:gridCol w:w="1473"/>
        <w:gridCol w:w="1683"/>
        <w:gridCol w:w="1282"/>
        <w:gridCol w:w="988"/>
      </w:tblGrid>
      <w:tr>
        <w:trPr/>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Times New Roman" w:hAnsi="Times New Roman" w:eastAsia="Arial" w:cs="Arial"/>
                <w:b/>
                <w:b/>
                <w:bCs/>
                <w:sz w:val="20"/>
                <w:szCs w:val="20"/>
              </w:rPr>
            </w:pPr>
            <w:r>
              <w:rPr>
                <w:rFonts w:eastAsia="Arial" w:cs="Arial" w:ascii="Times New Roman" w:hAnsi="Times New Roman"/>
                <w:b/>
                <w:bCs/>
                <w:sz w:val="20"/>
                <w:szCs w:val="20"/>
              </w:rPr>
              <w:t>ITEM</w:t>
            </w:r>
          </w:p>
        </w:tc>
        <w:tc>
          <w:tcPr>
            <w:tcW w:w="19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sz w:val="20"/>
                <w:szCs w:val="20"/>
              </w:rPr>
            </w:pPr>
            <w:r>
              <w:rPr>
                <w:rFonts w:eastAsia="Arial" w:cs="Arial" w:ascii="Times New Roman" w:hAnsi="Times New Roman"/>
                <w:b/>
                <w:bCs/>
                <w:sz w:val="20"/>
                <w:szCs w:val="20"/>
              </w:rPr>
              <w:t>ESPECIFICAÇÃO</w:t>
            </w:r>
          </w:p>
        </w:tc>
        <w:tc>
          <w:tcPr>
            <w:tcW w:w="12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sz w:val="20"/>
                <w:szCs w:val="20"/>
              </w:rPr>
            </w:pPr>
            <w:r>
              <w:rPr>
                <w:rFonts w:eastAsia="Arial" w:cs="Arial" w:ascii="Times New Roman" w:hAnsi="Times New Roman"/>
                <w:b/>
                <w:bCs/>
                <w:sz w:val="20"/>
                <w:szCs w:val="20"/>
              </w:rPr>
              <w:t>CATMAT</w:t>
            </w:r>
          </w:p>
        </w:tc>
        <w:tc>
          <w:tcPr>
            <w:tcW w:w="14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sz w:val="20"/>
                <w:szCs w:val="20"/>
              </w:rPr>
            </w:pPr>
            <w:r>
              <w:rPr>
                <w:rFonts w:eastAsia="Arial" w:cs="Arial" w:ascii="Times New Roman" w:hAnsi="Times New Roman"/>
                <w:b/>
                <w:bCs/>
                <w:sz w:val="20"/>
                <w:szCs w:val="20"/>
              </w:rPr>
              <w:t>UNIDADE DE MEDIDA</w:t>
            </w:r>
          </w:p>
        </w:tc>
        <w:tc>
          <w:tcPr>
            <w:tcW w:w="16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Times New Roman" w:hAnsi="Times New Roman"/>
                <w:b/>
                <w:bCs/>
                <w:sz w:val="20"/>
                <w:szCs w:val="20"/>
              </w:rPr>
              <w:t>QUANTIDADE</w:t>
            </w:r>
          </w:p>
        </w:tc>
        <w:tc>
          <w:tcPr>
            <w:tcW w:w="12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Times New Roman" w:hAnsi="Times New Roman"/>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Times New Roman" w:hAnsi="Times New Roman"/>
                <w:b/>
                <w:bCs/>
                <w:sz w:val="20"/>
                <w:szCs w:val="20"/>
              </w:rPr>
              <w:t>VALOR TOTAL</w:t>
            </w:r>
          </w:p>
        </w:tc>
      </w:tr>
      <w:tr>
        <w:trPr/>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Times New Roman" w:hAnsi="Times New Roman"/>
                <w:b/>
                <w:bCs/>
                <w:sz w:val="22"/>
                <w:szCs w:val="22"/>
              </w:rPr>
              <w:t>1</w:t>
            </w:r>
          </w:p>
        </w:tc>
        <w:tc>
          <w:tcPr>
            <w:tcW w:w="19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2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4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6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2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98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r>
      <w:tr>
        <w:trPr/>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Times New Roman" w:hAnsi="Times New Roman"/>
                <w:b/>
                <w:bCs/>
                <w:sz w:val="22"/>
                <w:szCs w:val="22"/>
              </w:rPr>
              <w:t>2</w:t>
            </w:r>
          </w:p>
        </w:tc>
        <w:tc>
          <w:tcPr>
            <w:tcW w:w="19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2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4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6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2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98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r>
      <w:tr>
        <w:trPr/>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Times New Roman" w:hAnsi="Times New Roman"/>
                <w:b/>
                <w:bCs/>
                <w:sz w:val="22"/>
                <w:szCs w:val="22"/>
              </w:rPr>
              <w:t>3</w:t>
            </w:r>
          </w:p>
        </w:tc>
        <w:tc>
          <w:tcPr>
            <w:tcW w:w="19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2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4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6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2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98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r>
      <w:tr>
        <w:trPr/>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Times New Roman" w:hAnsi="Times New Roman"/>
                <w:b/>
                <w:bCs/>
                <w:sz w:val="22"/>
                <w:szCs w:val="22"/>
              </w:rPr>
              <w:t>...</w:t>
            </w:r>
          </w:p>
        </w:tc>
        <w:tc>
          <w:tcPr>
            <w:tcW w:w="19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47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6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12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c>
          <w:tcPr>
            <w:tcW w:w="98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sz w:val="20"/>
                <w:szCs w:val="20"/>
              </w:rPr>
            </w:pPr>
            <w:r>
              <w:rPr>
                <w:rFonts w:eastAsia="Arial" w:cs="Arial" w:ascii="Arial" w:hAnsi="Arial"/>
                <w:sz w:val="20"/>
                <w:szCs w:val="20"/>
              </w:rPr>
            </w:r>
          </w:p>
        </w:tc>
      </w:tr>
    </w:tbl>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1.3. Vinculam esta contratação, independentemente de transcrição:</w:t>
      </w:r>
    </w:p>
    <w:p>
      <w:pPr>
        <w:pStyle w:val="Nivel3"/>
        <w:tabs>
          <w:tab w:val="left" w:pos="627" w:leader="none"/>
        </w:tabs>
        <w:ind w:left="0" w:hanging="0"/>
        <w:rPr>
          <w:rFonts w:ascii="Times New Roman" w:hAnsi="Times New Roman"/>
          <w:color w:val="auto"/>
          <w:sz w:val="24"/>
          <w:szCs w:val="24"/>
        </w:rPr>
      </w:pPr>
      <w:r>
        <w:rPr>
          <w:rFonts w:ascii="Times New Roman" w:hAnsi="Times New Roman"/>
          <w:color w:val="auto"/>
          <w:sz w:val="24"/>
          <w:szCs w:val="24"/>
        </w:rPr>
        <w:t>1.3.1. O Termo de Referência;</w:t>
      </w:r>
    </w:p>
    <w:p>
      <w:pPr>
        <w:pStyle w:val="Nivel3"/>
        <w:tabs>
          <w:tab w:val="left" w:pos="627" w:leader="none"/>
        </w:tabs>
        <w:ind w:left="0" w:hanging="0"/>
        <w:rPr>
          <w:rFonts w:ascii="Times New Roman" w:hAnsi="Times New Roman"/>
          <w:color w:val="auto"/>
          <w:sz w:val="24"/>
          <w:szCs w:val="24"/>
        </w:rPr>
      </w:pPr>
      <w:r>
        <w:rPr>
          <w:rFonts w:ascii="Times New Roman" w:hAnsi="Times New Roman"/>
          <w:color w:val="auto"/>
          <w:sz w:val="24"/>
          <w:szCs w:val="24"/>
        </w:rPr>
        <w:t>1.3.2. O Edital da Licitação;</w:t>
      </w:r>
    </w:p>
    <w:p>
      <w:pPr>
        <w:pStyle w:val="Nivel3"/>
        <w:tabs>
          <w:tab w:val="left" w:pos="627" w:leader="none"/>
        </w:tabs>
        <w:ind w:left="0" w:hanging="0"/>
        <w:rPr>
          <w:rFonts w:ascii="Times New Roman" w:hAnsi="Times New Roman"/>
          <w:color w:val="auto"/>
          <w:sz w:val="24"/>
          <w:szCs w:val="24"/>
        </w:rPr>
      </w:pPr>
      <w:r>
        <w:rPr>
          <w:rFonts w:ascii="Times New Roman" w:hAnsi="Times New Roman"/>
          <w:color w:val="auto"/>
          <w:sz w:val="24"/>
          <w:szCs w:val="24"/>
        </w:rPr>
        <w:t>1.3.3. A Proposta do contratado;</w:t>
      </w:r>
    </w:p>
    <w:p>
      <w:pPr>
        <w:pStyle w:val="Nivel3"/>
        <w:tabs>
          <w:tab w:val="left" w:pos="627" w:leader="none"/>
        </w:tabs>
        <w:ind w:left="0" w:hanging="0"/>
        <w:rPr>
          <w:rFonts w:ascii="Times New Roman" w:hAnsi="Times New Roman"/>
          <w:color w:val="auto"/>
          <w:sz w:val="24"/>
          <w:szCs w:val="24"/>
        </w:rPr>
      </w:pPr>
      <w:r>
        <w:rPr>
          <w:rFonts w:ascii="Times New Roman" w:hAnsi="Times New Roman"/>
          <w:color w:val="auto"/>
          <w:sz w:val="24"/>
          <w:szCs w:val="24"/>
        </w:rPr>
        <w:t>1.3.4. Eventuais anexos dos documentos supracitados.</w:t>
      </w:r>
    </w:p>
    <w:p>
      <w:pPr>
        <w:pStyle w:val="Nivel01"/>
        <w:tabs>
          <w:tab w:val="left" w:pos="341" w:leader="none"/>
          <w:tab w:val="left" w:pos="567" w:leader="none"/>
        </w:tabs>
        <w:rPr>
          <w:rFonts w:ascii="Times New Roman" w:hAnsi="Times New Roman"/>
          <w:sz w:val="24"/>
          <w:szCs w:val="24"/>
        </w:rPr>
      </w:pPr>
      <w:r>
        <w:rPr>
          <w:rFonts w:ascii="Times New Roman" w:hAnsi="Times New Roman"/>
          <w:sz w:val="24"/>
          <w:szCs w:val="24"/>
        </w:rPr>
        <w:t>2. CLÁUSULA SEGUNDA – VIGÊNCIA E PRORROGAÇÃO</w:t>
      </w:r>
    </w:p>
    <w:p>
      <w:pPr>
        <w:pStyle w:val="Nvel2Red"/>
        <w:tabs>
          <w:tab w:val="left" w:pos="286" w:leader="none"/>
        </w:tabs>
        <w:rPr/>
      </w:pPr>
      <w:r>
        <w:rPr>
          <w:rFonts w:ascii="Times New Roman" w:hAnsi="Times New Roman"/>
          <w:i w:val="false"/>
          <w:iCs w:val="false"/>
          <w:color w:val="auto"/>
          <w:sz w:val="24"/>
          <w:szCs w:val="24"/>
        </w:rPr>
        <w:t xml:space="preserve">2.1. O prazo de vigência da contratação é de 12 (doze) meses contados da assinatura do contrato, prorrogável por até 10 anos, na forma dos </w:t>
      </w:r>
      <w:r>
        <w:fldChar w:fldCharType="begin"/>
      </w:r>
      <w:r>
        <w:rPr>
          <w:rStyle w:val="LinkdaInternet"/>
          <w:sz w:val="24"/>
          <w:i w:val="false"/>
          <w:u w:val="none"/>
          <w:szCs w:val="24"/>
          <w:iCs w:val="false"/>
          <w:rFonts w:ascii="Times New Roman" w:hAnsi="Times New Roman"/>
        </w:rPr>
        <w:instrText> HYPERLINK "http://www.planalto.gov.br/ccivil_03/_ato2019-2022/2021/lei/L14133.htm" \l "art106"</w:instrText>
      </w:r>
      <w:r>
        <w:rPr>
          <w:rStyle w:val="LinkdaInternet"/>
          <w:sz w:val="24"/>
          <w:i w:val="false"/>
          <w:u w:val="none"/>
          <w:szCs w:val="24"/>
          <w:iCs w:val="false"/>
          <w:rFonts w:ascii="Times New Roman" w:hAnsi="Times New Roman"/>
        </w:rPr>
        <w:fldChar w:fldCharType="separate"/>
      </w:r>
      <w:r>
        <w:rPr>
          <w:rStyle w:val="LinkdaInternet"/>
          <w:rFonts w:ascii="Times New Roman" w:hAnsi="Times New Roman"/>
          <w:i w:val="false"/>
          <w:iCs w:val="false"/>
          <w:color w:val="auto"/>
          <w:sz w:val="24"/>
          <w:szCs w:val="24"/>
          <w:u w:val="none"/>
        </w:rPr>
        <w:t>artigos 106 e 107 da Lei n° 14.133, de 2021</w:t>
      </w:r>
      <w:r>
        <w:rPr>
          <w:rStyle w:val="LinkdaInternet"/>
          <w:sz w:val="24"/>
          <w:i w:val="false"/>
          <w:u w:val="none"/>
          <w:szCs w:val="24"/>
          <w:iCs w:val="false"/>
          <w:rFonts w:ascii="Times New Roman" w:hAnsi="Times New Roman"/>
        </w:rPr>
        <w:fldChar w:fldCharType="end"/>
      </w:r>
      <w:r>
        <w:rPr>
          <w:rFonts w:ascii="Times New Roman" w:hAnsi="Times New Roman"/>
          <w:i w:val="false"/>
          <w:iCs w:val="false"/>
          <w:color w:val="auto"/>
          <w:sz w:val="24"/>
          <w:szCs w:val="24"/>
        </w:rPr>
        <w:t>.</w:t>
      </w:r>
    </w:p>
    <w:p>
      <w:pPr>
        <w:pStyle w:val="Nvel3R"/>
        <w:tabs>
          <w:tab w:val="left" w:pos="286" w:leader="none"/>
        </w:tabs>
        <w:ind w:lef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2.2. A prorrogação de que trata este item é condicionada ao ateste, pela autoridade competente, de que as condições e os preços permanecem vantajosos para a Administração, permitida a negociação com o contratado.</w:t>
      </w:r>
    </w:p>
    <w:p>
      <w:pPr>
        <w:pStyle w:val="Nivel2"/>
        <w:rPr>
          <w:rFonts w:ascii="Times New Roman" w:hAnsi="Times New Roman"/>
          <w:color w:val="auto"/>
          <w:sz w:val="24"/>
          <w:szCs w:val="24"/>
        </w:rPr>
      </w:pPr>
      <w:r>
        <w:rPr>
          <w:rFonts w:ascii="Times New Roman" w:hAnsi="Times New Roman"/>
          <w:color w:val="auto"/>
          <w:sz w:val="24"/>
          <w:szCs w:val="24"/>
        </w:rPr>
        <w:t>2.3. O contratado não tem direito subjetivo à prorrogação contratual.</w:t>
      </w:r>
    </w:p>
    <w:p>
      <w:pPr>
        <w:pStyle w:val="Nvel2Red"/>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2.4. A prorrogação de contrato deverá ser promovida mediante celebração de termo aditivo.</w:t>
      </w:r>
    </w:p>
    <w:p>
      <w:pPr>
        <w:pStyle w:val="Nvel2Red"/>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2.5. O contrato não poderá ser prorrogado quando o contratado tiver sido penalizado nas sanções de declaração de inidoneidade ou impedimento de licitar e contratar com poder público, observadas as abrangências de aplicação.</w:t>
      </w:r>
    </w:p>
    <w:p>
      <w:pPr>
        <w:pStyle w:val="Nivel01"/>
        <w:rPr/>
      </w:pPr>
      <w:r>
        <w:rPr>
          <w:rFonts w:ascii="Times New Roman" w:hAnsi="Times New Roman"/>
          <w:sz w:val="24"/>
          <w:szCs w:val="24"/>
        </w:rPr>
        <w:t>3. CLÁUSULA TERCEIRA – MODELOS DE EXECUÇÃO E GESTÃO CONTRATUAIS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IV, VII e XVIII)</w:t>
      </w:r>
      <w:r>
        <w:rPr>
          <w:rStyle w:val="LinkdaInternet"/>
          <w:sz w:val="24"/>
          <w:u w:val="none"/>
          <w:szCs w:val="24"/>
          <w:rFonts w:ascii="Times New Roman" w:hAnsi="Times New Roman"/>
        </w:rPr>
        <w:fldChar w:fldCharType="end"/>
      </w:r>
    </w:p>
    <w:p>
      <w:pPr>
        <w:pStyle w:val="Nivel2"/>
        <w:tabs>
          <w:tab w:val="left" w:pos="450" w:leader="none"/>
        </w:tabs>
        <w:rPr>
          <w:rFonts w:ascii="Times New Roman" w:hAnsi="Times New Roman"/>
          <w:color w:val="auto"/>
          <w:sz w:val="24"/>
          <w:szCs w:val="24"/>
        </w:rPr>
      </w:pPr>
      <w:r>
        <w:rPr>
          <w:rFonts w:ascii="Times New Roman" w:hAnsi="Times New Roman"/>
          <w:color w:val="auto"/>
          <w:sz w:val="24"/>
          <w:szCs w:val="24"/>
        </w:rPr>
        <w:t>3.1. O regime de execução contratual, os modelos de gestão e de execução, assim como os prazos e condições de conclusão, entrega, observação e recebimento do objeto constam no Termo de Referência, anexo a este Contrato.</w:t>
      </w:r>
    </w:p>
    <w:p>
      <w:pPr>
        <w:pStyle w:val="Nivel01"/>
        <w:tabs>
          <w:tab w:val="left" w:pos="286" w:leader="none"/>
          <w:tab w:val="left" w:pos="567" w:leader="none"/>
        </w:tabs>
        <w:rPr>
          <w:sz w:val="24"/>
          <w:szCs w:val="24"/>
        </w:rPr>
      </w:pPr>
      <w:r>
        <w:rPr>
          <w:rFonts w:ascii="Times New Roman" w:hAnsi="Times New Roman"/>
          <w:sz w:val="24"/>
          <w:szCs w:val="24"/>
        </w:rPr>
        <w:t>4. CLÁUSULA QUARTA – SUBCONTRATAÇÃO</w:t>
      </w:r>
    </w:p>
    <w:p>
      <w:pPr>
        <w:pStyle w:val="Nvel2Red"/>
        <w:rPr>
          <w:rFonts w:ascii="Times New Roman" w:hAnsi="Times New Roman"/>
          <w:i w:val="false"/>
          <w:i w:val="false"/>
          <w:color w:val="auto"/>
          <w:sz w:val="24"/>
          <w:szCs w:val="24"/>
        </w:rPr>
      </w:pPr>
      <w:r>
        <w:rPr>
          <w:rFonts w:ascii="Times New Roman" w:hAnsi="Times New Roman"/>
          <w:i w:val="false"/>
          <w:color w:val="auto"/>
          <w:sz w:val="24"/>
          <w:szCs w:val="24"/>
        </w:rPr>
        <w:t>4.1. Não será admitida a subcontratação do objeto contratual.</w:t>
      </w:r>
    </w:p>
    <w:p>
      <w:pPr>
        <w:pStyle w:val="Nivel01"/>
        <w:tabs>
          <w:tab w:val="left" w:pos="341" w:leader="none"/>
          <w:tab w:val="left" w:pos="567" w:leader="none"/>
        </w:tabs>
        <w:rPr/>
      </w:pPr>
      <w:r>
        <w:rPr>
          <w:rFonts w:ascii="Times New Roman" w:hAnsi="Times New Roman"/>
          <w:sz w:val="24"/>
          <w:szCs w:val="24"/>
        </w:rPr>
        <w:t>5. CLÁUSULA QUINTA – PREÇO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V)</w:t>
      </w:r>
      <w:r>
        <w:rPr>
          <w:rStyle w:val="LinkdaInternet"/>
          <w:sz w:val="24"/>
          <w:u w:val="none"/>
          <w:szCs w:val="24"/>
          <w:rFonts w:ascii="Times New Roman" w:hAnsi="Times New Roman"/>
        </w:rPr>
        <w:fldChar w:fldCharType="end"/>
      </w:r>
    </w:p>
    <w:p>
      <w:pPr>
        <w:pStyle w:val="Nvel2Red"/>
        <w:rPr>
          <w:rFonts w:ascii="Times New Roman" w:hAnsi="Times New Roman"/>
          <w:i w:val="false"/>
          <w:i w:val="false"/>
          <w:color w:val="auto"/>
          <w:sz w:val="24"/>
          <w:szCs w:val="24"/>
        </w:rPr>
      </w:pPr>
      <w:r>
        <w:rPr>
          <w:rFonts w:ascii="Times New Roman" w:hAnsi="Times New Roman"/>
          <w:i w:val="false"/>
          <w:color w:val="auto"/>
          <w:sz w:val="24"/>
          <w:szCs w:val="24"/>
        </w:rPr>
        <w:t>5.1. O valor total da contratação é de R$.......... (.....)</w:t>
      </w:r>
    </w:p>
    <w:p>
      <w:pPr>
        <w:pStyle w:val="Nivel2"/>
        <w:tabs>
          <w:tab w:val="left" w:pos="573" w:leader="none"/>
        </w:tabs>
        <w:rPr>
          <w:color w:val="auto"/>
          <w:sz w:val="24"/>
          <w:szCs w:val="24"/>
        </w:rPr>
      </w:pPr>
      <w:r>
        <w:rPr>
          <w:rFonts w:ascii="Times New Roman" w:hAnsi="Times New Roman"/>
          <w:color w:val="auto"/>
          <w:sz w:val="24"/>
          <w:szCs w:val="24"/>
        </w:rPr>
        <w:t>5.2. No valor acima estão incluídas todas as despesas ordinárias diretas e indiretas decorrentes da execução do objeto, inclusive tributos e/ou impostos, encargos sociais, trabalhistas, previdenciários, fiscais e</w:t>
      </w:r>
      <w:r>
        <w:rPr>
          <w:color w:val="auto"/>
          <w:sz w:val="24"/>
          <w:szCs w:val="24"/>
        </w:rPr>
        <w:t xml:space="preserve"> </w:t>
      </w:r>
      <w:r>
        <w:rPr>
          <w:rFonts w:ascii="Times New Roman" w:hAnsi="Times New Roman"/>
          <w:color w:val="auto"/>
          <w:sz w:val="24"/>
          <w:szCs w:val="24"/>
        </w:rPr>
        <w:t>comerciais incidentes, taxa de administração, frete, seguro e outros necessários ao cumprimento integral do objeto da contratação.</w:t>
      </w:r>
    </w:p>
    <w:p>
      <w:pPr>
        <w:pStyle w:val="Nivel01"/>
        <w:tabs>
          <w:tab w:val="left" w:pos="395" w:leader="none"/>
          <w:tab w:val="left" w:pos="567" w:leader="none"/>
        </w:tabs>
        <w:rPr/>
      </w:pPr>
      <w:r>
        <w:rPr>
          <w:rFonts w:ascii="Times New Roman" w:hAnsi="Times New Roman"/>
          <w:sz w:val="24"/>
          <w:szCs w:val="24"/>
        </w:rPr>
        <w:t>6. CLÁUSULA SEXTA - PAGAMENTO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V e VI</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 xml:space="preserve">6.1. O prazo para pagamento </w:t>
      </w:r>
      <w:r>
        <w:rPr>
          <w:rFonts w:ascii="Times New Roman" w:hAnsi="Times New Roman"/>
          <w:color w:val="auto"/>
          <w:sz w:val="24"/>
          <w:szCs w:val="24"/>
          <w:lang w:eastAsia="en-US"/>
        </w:rPr>
        <w:t>ao contratado</w:t>
      </w:r>
      <w:r>
        <w:rPr>
          <w:rFonts w:ascii="Times New Roman" w:hAnsi="Times New Roman"/>
          <w:color w:val="auto"/>
          <w:sz w:val="24"/>
          <w:szCs w:val="24"/>
        </w:rPr>
        <w:t xml:space="preserve"> e demais condições a ele referentes encontram-se definidos no Termo de Referência, anexo a este Contrato.</w:t>
      </w:r>
    </w:p>
    <w:p>
      <w:pPr>
        <w:pStyle w:val="Nivel01"/>
        <w:tabs>
          <w:tab w:val="left" w:pos="395" w:leader="none"/>
          <w:tab w:val="left" w:pos="567" w:leader="none"/>
        </w:tabs>
        <w:rPr/>
      </w:pPr>
      <w:r>
        <w:rPr>
          <w:rFonts w:ascii="Times New Roman" w:hAnsi="Times New Roman"/>
          <w:sz w:val="24"/>
          <w:szCs w:val="24"/>
        </w:rPr>
        <w:t>7. CLÁUSULA SÉTIMA - REAJUSTE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V)</w:t>
      </w:r>
      <w:r>
        <w:rPr>
          <w:rStyle w:val="LinkdaInternet"/>
          <w:sz w:val="24"/>
          <w:u w:val="none"/>
          <w:szCs w:val="24"/>
          <w:rFonts w:ascii="Times New Roman" w:hAnsi="Times New Roman"/>
        </w:rPr>
        <w:fldChar w:fldCharType="end"/>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 xml:space="preserve">7.1. Os preços inicialmente contratados são fixos e irreajustáveis no prazo de um ano contado da data do orçamento estimado, em </w:t>
      </w:r>
      <w:r>
        <w:rPr>
          <w:rFonts w:ascii="Times New Roman" w:hAnsi="Times New Roman"/>
          <w:iCs/>
          <w:color w:val="auto"/>
          <w:sz w:val="24"/>
          <w:szCs w:val="24"/>
        </w:rPr>
        <w:t>__/__/__</w:t>
      </w:r>
      <w:r>
        <w:rPr>
          <w:rFonts w:ascii="Times New Roman" w:hAnsi="Times New Roman"/>
          <w:color w:val="auto"/>
          <w:sz w:val="24"/>
          <w:szCs w:val="24"/>
        </w:rPr>
        <w:t>.</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 xml:space="preserve">7.2. Após o interregno de um ano, e independentemente de pedido do contratado, os preços iniciais serão reajustados, mediante a aplicação, pelo contratante, do índice ___________ </w:t>
      </w:r>
      <w:r>
        <w:rPr>
          <w:rFonts w:ascii="Times New Roman" w:hAnsi="Times New Roman"/>
          <w:iCs/>
          <w:color w:val="auto"/>
          <w:sz w:val="24"/>
          <w:szCs w:val="24"/>
        </w:rPr>
        <w:t>(indicar o índice a ser adotado),</w:t>
      </w:r>
      <w:r>
        <w:rPr>
          <w:rFonts w:ascii="Times New Roman" w:hAnsi="Times New Roman"/>
          <w:color w:val="auto"/>
          <w:sz w:val="24"/>
          <w:szCs w:val="24"/>
        </w:rPr>
        <w:t xml:space="preserve"> exclusivamente para as obrigações iniciadas e concluídas após a ocorrência da anualidade.</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7.3. Nos reajustes subsequentes ao primeiro, o interregno mínimo de um ano será contado a partir dos efeitos financeiros do último reajuste.</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7.4. No caso de atraso ou não divulgação do (s) índice (s) de reajustamento, o contratante pagará ao contratado a importância calculada pela última variação conhecida, liquidando a diferença correspondente tão logo seja (m) divulgado (s) o (s) índice (s) definitivo (s).</w:t>
      </w:r>
      <w:r>
        <w:rPr>
          <w:rFonts w:eastAsia="Times New Roman" w:ascii="Times New Roman" w:hAnsi="Times New Roman"/>
          <w:color w:val="auto"/>
          <w:sz w:val="24"/>
          <w:szCs w:val="24"/>
        </w:rPr>
        <w:t xml:space="preserve"> </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7.5. Nas aferições finais, o (s) índice (s) utilizado (s) para reajuste será (ão), obrigatoriamente, o (s) definitivo (s).</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7.6. Caso o (s) índice (s) estabelecido (s) para reajustamento venha (m) a ser extinto (s) ou de qualquer forma não possa (m) mais ser utilizado (s), será (ão) adotado (s), em substituição, o (s) que vier (em) a ser determinado (s) pela legislação então em vigor.</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 xml:space="preserve">7.7. Na ausência de previsão legal quanto ao índice substituto, as partes elegerão novo índice oficial, para reajustamento do preço do valor remanescente, por meio de termo aditivo. </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7.8. O reajuste será realizado por apostilamento.</w:t>
      </w:r>
    </w:p>
    <w:p>
      <w:pPr>
        <w:pStyle w:val="Nivel01"/>
        <w:tabs>
          <w:tab w:val="left" w:pos="395" w:leader="none"/>
          <w:tab w:val="left" w:pos="567" w:leader="none"/>
        </w:tabs>
        <w:rPr/>
      </w:pPr>
      <w:r>
        <w:rPr>
          <w:rFonts w:ascii="Times New Roman" w:hAnsi="Times New Roman"/>
          <w:sz w:val="24"/>
          <w:szCs w:val="24"/>
        </w:rPr>
        <w:t>8. CLÁUSULA OITAVA - OBRIGAÇÕES DO CONTRATANTE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X, XI e XIV</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ivel2"/>
        <w:tabs>
          <w:tab w:val="left" w:pos="573" w:leader="none"/>
        </w:tabs>
        <w:rPr>
          <w:b/>
          <w:b/>
          <w:bCs/>
          <w:color w:val="auto"/>
          <w:sz w:val="24"/>
          <w:szCs w:val="24"/>
        </w:rPr>
      </w:pPr>
      <w:r>
        <w:rPr>
          <w:rFonts w:ascii="Times New Roman" w:hAnsi="Times New Roman"/>
          <w:color w:val="auto"/>
          <w:sz w:val="24"/>
          <w:szCs w:val="24"/>
        </w:rPr>
        <w:t>8.1. São obrigações do Contratante:</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8.1.1. Exigir o cumprimento de todas as obrigações assumidas pelo Contratado, de acordo com o contrato e seus anexos;</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8.1.2. Receber o objeto no prazo e condições estabelecidas no Termo de Referência;</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8.1.3. Notificar o Contratado, por escrito, sobre vícios, defeitos ou incorreções verificadas no objeto fornecido, para que seja por ele substituído, reparado ou corrigido, no total ou em parte, às suas expensas;</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8.1.4. Acompanhar e fiscalizar a execução do contrato e o cumprimento das obrigações pelo Contratado;</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8.1.5. Efetuar o pagamento ao Contratado do valor correspondente ao fornecimento do objeto, no prazo, forma e condições estabelecidos no presente Contrato e no Termo de Referência.</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 xml:space="preserve">8.1.6. Aplicar ao Contratado as sanções previstas na lei e neste Contrato; </w:t>
      </w:r>
    </w:p>
    <w:p>
      <w:pPr>
        <w:pStyle w:val="Nivel2"/>
        <w:tabs>
          <w:tab w:val="left" w:pos="505" w:leader="none"/>
        </w:tabs>
        <w:rPr>
          <w:rFonts w:ascii="Times New Roman" w:hAnsi="Times New Roman"/>
          <w:color w:val="auto"/>
          <w:sz w:val="24"/>
          <w:szCs w:val="24"/>
        </w:rPr>
      </w:pPr>
      <w:r>
        <w:rPr>
          <w:rFonts w:ascii="Times New Roman" w:hAnsi="Times New Roman"/>
          <w:color w:val="auto"/>
          <w:sz w:val="24"/>
          <w:szCs w:val="24"/>
        </w:rPr>
        <w:t>8.1.7. Cientificar o órgão de representação judicial da Advocacia-Geral da União para adoção das medidas cabíveis quando do descumprimento de obrigações pelo Contratado;</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tabs>
          <w:tab w:val="left" w:pos="627" w:leader="none"/>
        </w:tabs>
        <w:rPr>
          <w:rFonts w:ascii="Times New Roman" w:hAnsi="Times New Roman"/>
          <w:color w:val="auto"/>
          <w:sz w:val="24"/>
          <w:szCs w:val="24"/>
        </w:rPr>
      </w:pPr>
      <w:r>
        <w:rPr>
          <w:rFonts w:ascii="Times New Roman" w:hAnsi="Times New Roman"/>
          <w:color w:val="auto"/>
          <w:sz w:val="24"/>
          <w:szCs w:val="24"/>
        </w:rPr>
        <w:t>8.2. A Administração terá o prazo de</w:t>
      </w:r>
      <w:r>
        <w:rPr>
          <w:rFonts w:ascii="Times New Roman" w:hAnsi="Times New Roman"/>
          <w:i/>
          <w:iCs/>
          <w:color w:val="auto"/>
          <w:sz w:val="24"/>
          <w:szCs w:val="24"/>
        </w:rPr>
        <w:t xml:space="preserve"> </w:t>
      </w:r>
      <w:r>
        <w:rPr>
          <w:rFonts w:ascii="Times New Roman" w:hAnsi="Times New Roman"/>
          <w:color w:val="auto"/>
          <w:sz w:val="24"/>
          <w:szCs w:val="24"/>
        </w:rPr>
        <w:t xml:space="preserve">30 (trinta) dias, a contar da data do protocolo do requerimento para decidir, admitida a prorrogação motivada, por igual período. </w:t>
      </w:r>
    </w:p>
    <w:p>
      <w:pPr>
        <w:pStyle w:val="Nivel2"/>
        <w:rPr>
          <w:rFonts w:ascii="Times New Roman" w:hAnsi="Times New Roman"/>
          <w:color w:val="auto"/>
          <w:sz w:val="24"/>
          <w:szCs w:val="24"/>
        </w:rPr>
      </w:pPr>
      <w:r>
        <w:rPr>
          <w:rFonts w:ascii="Times New Roman" w:hAnsi="Times New Roman"/>
          <w:color w:val="auto"/>
          <w:sz w:val="24"/>
          <w:szCs w:val="24"/>
        </w:rPr>
        <w:t>8.3. Responder eventuais pedidos de reestabelecimento do equilíbrio econômico-financeiro feitos pelo contratado no prazo máximo de 30 (trinta) dias.</w:t>
      </w:r>
    </w:p>
    <w:p>
      <w:pPr>
        <w:pStyle w:val="Nvel2Red"/>
        <w:tabs>
          <w:tab w:val="left" w:pos="395" w:leader="none"/>
        </w:tabs>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8.4. Notificar os emitentes das garantias quanto ao início de processo administrativo para apuração de descumprimento de cláusulas contratuais.</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8.5.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tabs>
          <w:tab w:val="left" w:pos="395" w:leader="none"/>
          <w:tab w:val="left" w:pos="567" w:leader="none"/>
        </w:tabs>
        <w:rPr/>
      </w:pPr>
      <w:r>
        <w:rPr>
          <w:rFonts w:ascii="Times New Roman" w:hAnsi="Times New Roman"/>
          <w:sz w:val="24"/>
          <w:szCs w:val="24"/>
        </w:rPr>
        <w:t>9. CLÁUSULA NONA - OBRIGAÇÕES DO CONTRATADO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XIV, XVI e XVII)</w:t>
      </w:r>
      <w:r>
        <w:rPr>
          <w:rStyle w:val="LinkdaInternet"/>
          <w:sz w:val="24"/>
          <w:u w:val="none"/>
          <w:szCs w:val="24"/>
          <w:rFonts w:ascii="Times New Roman" w:hAnsi="Times New Roman"/>
        </w:rPr>
        <w:fldChar w:fldCharType="end"/>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tabs>
          <w:tab w:val="left" w:pos="395" w:leader="none"/>
        </w:tabs>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9.1.1. Entregar o objeto acompanhado do manual do usuário, com uma versão em português, e da relação da rede de assistência técnica autorizada;</w:t>
      </w:r>
    </w:p>
    <w:p>
      <w:pPr>
        <w:pStyle w:val="Nivel2"/>
        <w:tabs>
          <w:tab w:val="left" w:pos="573" w:leader="none"/>
        </w:tabs>
        <w:rPr/>
      </w:pPr>
      <w:r>
        <w:rPr>
          <w:rFonts w:ascii="Times New Roman" w:hAnsi="Times New Roman"/>
          <w:color w:val="auto"/>
          <w:sz w:val="24"/>
          <w:szCs w:val="24"/>
        </w:rPr>
        <w:t>9.1.2. Responsabilizar-se pelos vícios e danos decorrentes do objeto, de acordo com o Código de Defesa do Consumidor (</w:t>
      </w:r>
      <w:hyperlink r:id="rId4">
        <w:r>
          <w:rPr>
            <w:rStyle w:val="LinkdaInternet"/>
            <w:rFonts w:ascii="Times New Roman" w:hAnsi="Times New Roman"/>
            <w:color w:val="auto"/>
            <w:sz w:val="24"/>
            <w:szCs w:val="24"/>
            <w:u w:val="none"/>
          </w:rPr>
          <w:t>Lei nº 8.078, de 1990</w:t>
        </w:r>
      </w:hyperlink>
      <w:r>
        <w:rPr>
          <w:rFonts w:ascii="Times New Roman" w:hAnsi="Times New Roman"/>
          <w:color w:val="auto"/>
          <w:sz w:val="24"/>
          <w:szCs w:val="24"/>
        </w:rPr>
        <w:t>);</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9.1.3. Comunicar ao contratante, no prazo máximo de 24 (vinte e quatro) horas que antecede a data da entrega, os motivos que impossibilitem o cumprimento do prazo previsto, com a devida comprovação;</w:t>
      </w:r>
    </w:p>
    <w:p>
      <w:pPr>
        <w:pStyle w:val="Nivel2"/>
        <w:tabs>
          <w:tab w:val="left" w:pos="573" w:leader="none"/>
        </w:tabs>
        <w:rPr/>
      </w:pPr>
      <w:r>
        <w:rPr>
          <w:rFonts w:ascii="Times New Roman" w:hAnsi="Times New Roman"/>
          <w:color w:val="auto"/>
          <w:sz w:val="24"/>
          <w:szCs w:val="24"/>
        </w:rPr>
        <w:t>9.1.4. Atender às determinações regulares emitidas pelo fiscal ou gestor do contrato ou autoridade superior (</w:t>
      </w:r>
      <w:r>
        <w:fldChar w:fldCharType="begin"/>
      </w:r>
      <w:r>
        <w:rPr>
          <w:rStyle w:val="LinkdaInternet"/>
          <w:sz w:val="24"/>
          <w:u w:val="none"/>
          <w:szCs w:val="24"/>
          <w:rFonts w:ascii="Times New Roman" w:hAnsi="Times New Roman"/>
        </w:rPr>
        <w:instrText> HYPERLINK "http://www.planalto.gov.br/ccivil_03/_ato2019-2022/2021/lei/L14133.htm" \l "art137"</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137, II, da Lei n.º 14.133, de 2021</w:t>
      </w:r>
      <w:r>
        <w:rPr>
          <w:rStyle w:val="LinkdaInternet"/>
          <w:sz w:val="24"/>
          <w:u w:val="none"/>
          <w:szCs w:val="24"/>
          <w:rFonts w:ascii="Times New Roman" w:hAnsi="Times New Roman"/>
        </w:rPr>
        <w:fldChar w:fldCharType="end"/>
      </w:r>
      <w:r>
        <w:rPr>
          <w:rFonts w:ascii="Times New Roman" w:hAnsi="Times New Roman"/>
          <w:color w:val="auto"/>
          <w:sz w:val="24"/>
          <w:szCs w:val="24"/>
        </w:rPr>
        <w:t>) e prestar todo esclarecimento ou informação por eles solicitados;</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9.1.6.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 xml:space="preserve">9.1.7.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tabs>
          <w:tab w:val="left" w:pos="505" w:leader="none"/>
        </w:tabs>
        <w:rPr>
          <w:rFonts w:ascii="Times New Roman" w:hAnsi="Times New Roman"/>
          <w:color w:val="auto"/>
          <w:sz w:val="24"/>
          <w:szCs w:val="24"/>
        </w:rPr>
      </w:pPr>
      <w:r>
        <w:rPr>
          <w:rFonts w:ascii="Times New Roman" w:hAnsi="Times New Roman"/>
          <w:color w:val="auto"/>
          <w:sz w:val="24"/>
          <w:szCs w:val="24"/>
        </w:rPr>
        <w:t>9.1.8.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tabs>
          <w:tab w:val="left" w:pos="505" w:leader="none"/>
          <w:tab w:val="left" w:pos="573" w:leader="none"/>
        </w:tabs>
        <w:rPr>
          <w:rFonts w:ascii="Times New Roman" w:hAnsi="Times New Roman"/>
          <w:color w:val="auto"/>
          <w:sz w:val="24"/>
          <w:szCs w:val="24"/>
        </w:rPr>
      </w:pPr>
      <w:r>
        <w:rPr>
          <w:rFonts w:ascii="Times New Roman" w:hAnsi="Times New Roman"/>
          <w:color w:val="auto"/>
          <w:sz w:val="24"/>
          <w:szCs w:val="24"/>
        </w:rPr>
        <w:t>9.1.9. Comunicar ao Fiscal do contrato, no prazo de 24 (vinte e quatro) horas, qualquer ocorrência anormal ou acidente que se verifique no local da execução do objeto contratual.</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9.1.10. Paralisar, por determinação do contratante, qualquer atividade que não esteja sendo executada de acordo com a boa técnica ou que ponha em risco a segurança de pessoas ou bens de terceiros.</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 xml:space="preserve">9.1.11. Manter durante toda a vigência do contrato, em compatibilidade com as obrigações assumidas, todas as condições exigidas para habilitação na licitação; </w:t>
      </w:r>
    </w:p>
    <w:p>
      <w:pPr>
        <w:pStyle w:val="Nivel2"/>
        <w:tabs>
          <w:tab w:val="left" w:pos="573" w:leader="none"/>
        </w:tabs>
        <w:rPr/>
      </w:pPr>
      <w:r>
        <w:rPr>
          <w:rFonts w:ascii="Times New Roman" w:hAnsi="Times New Roman"/>
          <w:color w:val="auto"/>
          <w:sz w:val="24"/>
          <w:szCs w:val="24"/>
        </w:rPr>
        <w:t>9.1.12.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4"/>
          <w:u w:val="none"/>
          <w:szCs w:val="24"/>
          <w:rFonts w:ascii="Times New Roman" w:hAnsi="Times New Roman"/>
        </w:rPr>
        <w:instrText> HYPERLINK "http://www.planalto.gov.br/ccivil_03/_ato2019-2022/2021/lei/L14133.htm" \l "art116"</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116, da Lei n.º 14.133, de 2021</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ivel2"/>
        <w:tabs>
          <w:tab w:val="left" w:pos="573" w:leader="none"/>
        </w:tabs>
        <w:rPr/>
      </w:pPr>
      <w:r>
        <w:rPr>
          <w:rFonts w:ascii="Times New Roman" w:hAnsi="Times New Roman"/>
          <w:color w:val="auto"/>
          <w:sz w:val="24"/>
          <w:szCs w:val="24"/>
        </w:rPr>
        <w:t>9.1.13. Comprovar a reserva de cargos a que se refere a cláusula acima, no prazo fixado pelo fiscal do contrato, com a indicação dos empregados que preencheram as referidas vagas (</w:t>
      </w:r>
      <w:r>
        <w:fldChar w:fldCharType="begin"/>
      </w:r>
      <w:r>
        <w:rPr>
          <w:rStyle w:val="LinkdaInternet"/>
          <w:sz w:val="24"/>
          <w:u w:val="none"/>
          <w:szCs w:val="24"/>
          <w:rFonts w:ascii="Times New Roman" w:hAnsi="Times New Roman"/>
        </w:rPr>
        <w:instrText> HYPERLINK "http://www.planalto.gov.br/ccivil_03/_ato2019-2022/2021/lei/L14133.htm" \l "art116"</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116, parágrafo único, da Lei n.º 14.133, de 2021</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ivel2"/>
        <w:rPr>
          <w:rFonts w:ascii="Times New Roman" w:hAnsi="Times New Roman"/>
          <w:color w:val="auto"/>
          <w:sz w:val="24"/>
          <w:szCs w:val="24"/>
        </w:rPr>
      </w:pPr>
      <w:r>
        <w:rPr>
          <w:rFonts w:ascii="Times New Roman" w:hAnsi="Times New Roman"/>
          <w:color w:val="auto"/>
          <w:sz w:val="24"/>
          <w:szCs w:val="24"/>
        </w:rPr>
        <w:t xml:space="preserve">9.1.14. Guardar sigilo sobre todas as informações obtidas em decorrência do cumprimento do contrato; </w:t>
      </w:r>
    </w:p>
    <w:p>
      <w:pPr>
        <w:pStyle w:val="Nivel2"/>
        <w:rPr/>
      </w:pPr>
      <w:r>
        <w:rPr>
          <w:rFonts w:ascii="Times New Roman" w:hAnsi="Times New Roman"/>
          <w:color w:val="auto"/>
          <w:sz w:val="24"/>
          <w:szCs w:val="24"/>
        </w:rPr>
        <w:t xml:space="preserve">9.1.15.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4"/>
          <w:u w:val="none"/>
          <w:szCs w:val="24"/>
          <w:rFonts w:ascii="Times New Roman" w:hAnsi="Times New Roman"/>
        </w:rPr>
        <w:instrText> HYPERLINK "http://www.planalto.gov.br/ccivil_03/_ato2019-2022/2021/lei/L14133.htm" \l "art124"</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124, II, d, da Lei nº 14.133, de 2021.</w:t>
      </w:r>
      <w:r>
        <w:rPr>
          <w:rStyle w:val="LinkdaInternet"/>
          <w:sz w:val="24"/>
          <w:u w:val="none"/>
          <w:szCs w:val="24"/>
          <w:rFonts w:ascii="Times New Roman" w:hAnsi="Times New Roman"/>
        </w:rPr>
        <w:fldChar w:fldCharType="end"/>
      </w:r>
    </w:p>
    <w:p>
      <w:pPr>
        <w:pStyle w:val="Nivel2"/>
        <w:rPr>
          <w:rFonts w:ascii="Times New Roman" w:hAnsi="Times New Roman"/>
          <w:color w:val="auto"/>
          <w:sz w:val="24"/>
          <w:szCs w:val="24"/>
        </w:rPr>
      </w:pPr>
      <w:r>
        <w:rPr>
          <w:rFonts w:ascii="Times New Roman" w:hAnsi="Times New Roman"/>
          <w:color w:val="auto"/>
          <w:sz w:val="24"/>
          <w:szCs w:val="24"/>
        </w:rPr>
        <w:t>9.1.16. Cumprir, além dos postulados legais vigentes de âmbito federal, estadual ou municipal, as normas de segurança do contratante;</w:t>
      </w:r>
    </w:p>
    <w:p>
      <w:pPr>
        <w:pStyle w:val="Nivel2"/>
        <w:tabs>
          <w:tab w:val="left" w:pos="395" w:leader="none"/>
        </w:tabs>
        <w:rPr>
          <w:color w:val="auto"/>
          <w:sz w:val="24"/>
          <w:szCs w:val="24"/>
        </w:rPr>
      </w:pPr>
      <w:bookmarkStart w:id="1" w:name="_Ref118293001"/>
      <w:r>
        <w:rPr>
          <w:rFonts w:ascii="Times New Roman" w:hAnsi="Times New Roman"/>
          <w:color w:val="auto"/>
          <w:sz w:val="24"/>
          <w:szCs w:val="24"/>
        </w:rPr>
        <w:t>9.1.17.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pPr>
        <w:pStyle w:val="Nivel2"/>
        <w:tabs>
          <w:tab w:val="left" w:pos="395" w:leader="none"/>
        </w:tabs>
        <w:rPr>
          <w:rFonts w:ascii="Times New Roman" w:hAnsi="Times New Roman"/>
          <w:color w:val="auto"/>
          <w:sz w:val="24"/>
          <w:szCs w:val="24"/>
        </w:rPr>
      </w:pPr>
      <w:r>
        <w:rPr>
          <w:rFonts w:ascii="Times New Roman" w:hAnsi="Times New Roman"/>
          <w:color w:val="auto"/>
          <w:sz w:val="24"/>
          <w:szCs w:val="24"/>
        </w:rPr>
        <w:t>9.1.18. Orientar e treinar seus empregados sobre os deveres previstos na Lei nº 13.709, de 14 de agosto de 2018, adotando medidas eficazes para proteção de dados pessoais a que tenha acesso por força da execução deste contrato;</w:t>
      </w:r>
    </w:p>
    <w:p>
      <w:pPr>
        <w:pStyle w:val="Nivel2"/>
        <w:tabs>
          <w:tab w:val="left" w:pos="395" w:leader="none"/>
        </w:tabs>
        <w:rPr>
          <w:rFonts w:ascii="Times New Roman" w:hAnsi="Times New Roman"/>
          <w:color w:val="auto"/>
          <w:sz w:val="24"/>
          <w:szCs w:val="24"/>
        </w:rPr>
      </w:pPr>
      <w:r>
        <w:rPr>
          <w:rFonts w:ascii="Times New Roman" w:hAnsi="Times New Roman"/>
          <w:color w:val="auto"/>
          <w:sz w:val="24"/>
          <w:szCs w:val="24"/>
        </w:rPr>
        <w:t>9.1.19. Conduzir os trabalhos com estrita observância às normas da legislação pertinente, cumprindo as determinações dos Poderes Públicos, mantendo sempre limpo o local d</w:t>
      </w:r>
      <w:r>
        <w:rPr>
          <w:rFonts w:ascii="Times New Roman" w:hAnsi="Times New Roman"/>
          <w:color w:val="auto"/>
          <w:sz w:val="24"/>
          <w:szCs w:val="24"/>
          <w:lang w:eastAsia="en-US"/>
        </w:rPr>
        <w:t>e execução do objeto</w:t>
      </w:r>
      <w:r>
        <w:rPr>
          <w:rFonts w:ascii="Times New Roman" w:hAnsi="Times New Roman"/>
          <w:color w:val="auto"/>
          <w:sz w:val="24"/>
          <w:szCs w:val="24"/>
        </w:rPr>
        <w:t xml:space="preserve"> e nas melhores condições de segurança, higiene e disciplina.</w:t>
      </w:r>
    </w:p>
    <w:p>
      <w:pPr>
        <w:pStyle w:val="Nivel2"/>
        <w:tabs>
          <w:tab w:val="left" w:pos="395" w:leader="none"/>
        </w:tabs>
        <w:rPr>
          <w:rFonts w:ascii="Times New Roman" w:hAnsi="Times New Roman"/>
          <w:color w:val="auto"/>
          <w:sz w:val="24"/>
          <w:szCs w:val="24"/>
        </w:rPr>
      </w:pPr>
      <w:r>
        <w:rPr>
          <w:rFonts w:ascii="Times New Roman" w:hAnsi="Times New Roman"/>
          <w:color w:val="auto"/>
          <w:sz w:val="24"/>
          <w:szCs w:val="24"/>
        </w:rPr>
        <w:t>9.1.20. Submeter previamente, por escrito, ao contratante, para análise e aprovação, quaisquer mudanças nos métodos executivos que fujam às especificações do memorial descritivo ou instrumento congênere.</w:t>
      </w:r>
    </w:p>
    <w:p>
      <w:pPr>
        <w:pStyle w:val="Nivel2"/>
        <w:tabs>
          <w:tab w:val="left" w:pos="0" w:leader="none"/>
          <w:tab w:val="left" w:pos="395" w:leader="none"/>
        </w:tabs>
        <w:rPr>
          <w:color w:val="auto"/>
          <w:sz w:val="24"/>
          <w:szCs w:val="24"/>
        </w:rPr>
      </w:pPr>
      <w:bookmarkStart w:id="2" w:name="_Ref118293030"/>
      <w:r>
        <w:rPr>
          <w:rFonts w:ascii="Times New Roman" w:hAnsi="Times New Roman"/>
          <w:color w:val="auto"/>
          <w:sz w:val="24"/>
          <w:szCs w:val="24"/>
        </w:rPr>
        <w:t>9.1.21. 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pPr>
        <w:pStyle w:val="Nivel01"/>
        <w:tabs>
          <w:tab w:val="left" w:pos="395" w:leader="none"/>
          <w:tab w:val="left" w:pos="567" w:leader="none"/>
        </w:tabs>
        <w:rPr/>
      </w:pPr>
      <w:r>
        <w:rPr>
          <w:rFonts w:ascii="Times New Roman" w:hAnsi="Times New Roman"/>
          <w:sz w:val="24"/>
          <w:szCs w:val="24"/>
        </w:rPr>
        <w:t>10. CLÁUSULA DÉCIMA– GARANTIA DE EXECUÇÃO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XII</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vel2Red"/>
        <w:tabs>
          <w:tab w:val="left" w:pos="164" w:leader="none"/>
          <w:tab w:val="left" w:pos="341" w:leader="none"/>
        </w:tabs>
        <w:rPr>
          <w:rFonts w:ascii="Times New Roman" w:hAnsi="Times New Roman"/>
          <w:i w:val="false"/>
          <w:i w:val="false"/>
          <w:color w:val="auto"/>
          <w:sz w:val="24"/>
          <w:szCs w:val="24"/>
        </w:rPr>
      </w:pPr>
      <w:r>
        <w:rPr>
          <w:rFonts w:ascii="Times New Roman" w:hAnsi="Times New Roman"/>
          <w:i w:val="false"/>
          <w:color w:val="auto"/>
          <w:sz w:val="24"/>
          <w:szCs w:val="24"/>
        </w:rPr>
        <w:t>10.1. Não haverá exigência de garantia contratual da execução.</w:t>
      </w:r>
    </w:p>
    <w:p>
      <w:pPr>
        <w:pStyle w:val="Nivel01"/>
        <w:tabs>
          <w:tab w:val="left" w:pos="395" w:leader="none"/>
          <w:tab w:val="left" w:pos="567" w:leader="none"/>
        </w:tabs>
        <w:rPr/>
      </w:pPr>
      <w:r>
        <w:rPr>
          <w:rFonts w:ascii="Times New Roman" w:hAnsi="Times New Roman"/>
          <w:sz w:val="24"/>
          <w:szCs w:val="24"/>
        </w:rPr>
        <w:t>11. CLÁUSULA DÉCIMA PRIMEIRA – INFRAÇÕES E SANÇÕES ADMINISTRATIVAS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XIV</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ivel2"/>
        <w:tabs>
          <w:tab w:val="left" w:pos="505" w:leader="none"/>
        </w:tabs>
        <w:rPr/>
      </w:pPr>
      <w:r>
        <w:rPr>
          <w:rFonts w:ascii="Times New Roman" w:hAnsi="Times New Roman"/>
          <w:color w:val="auto"/>
          <w:sz w:val="24"/>
          <w:szCs w:val="24"/>
        </w:rPr>
        <w:t xml:space="preserve">11.1. Comete infração administrativa, nos termos da </w:t>
      </w:r>
      <w:hyperlink r:id="rId5">
        <w:r>
          <w:rPr>
            <w:rStyle w:val="LinkdaInternet"/>
            <w:rFonts w:ascii="Times New Roman" w:hAnsi="Times New Roman"/>
            <w:color w:val="auto"/>
            <w:sz w:val="24"/>
            <w:szCs w:val="24"/>
            <w:u w:val="none"/>
          </w:rPr>
          <w:t>Lei nº 14.133, de 2021</w:t>
        </w:r>
      </w:hyperlink>
      <w:r>
        <w:rPr>
          <w:rFonts w:ascii="Times New Roman" w:hAnsi="Times New Roman"/>
          <w:color w:val="auto"/>
          <w:sz w:val="24"/>
          <w:szCs w:val="24"/>
        </w:rPr>
        <w:t>, o contratado que:</w:t>
      </w:r>
    </w:p>
    <w:p>
      <w:pPr>
        <w:pStyle w:val="Normal"/>
        <w:numPr>
          <w:ilvl w:val="2"/>
          <w:numId w:val="3"/>
        </w:numPr>
        <w:tabs>
          <w:tab w:val="left" w:pos="286" w:leader="none"/>
        </w:tabs>
        <w:suppressAutoHyphens w:val="true"/>
        <w:spacing w:lineRule="auto" w:line="276" w:before="120" w:after="120"/>
        <w:ind w:left="0" w:hanging="0"/>
        <w:jc w:val="both"/>
        <w:rPr>
          <w:rFonts w:ascii="Arial" w:hAnsi="Arial" w:eastAsia="Arial" w:cs="Arial"/>
        </w:rPr>
      </w:pPr>
      <w:r>
        <w:rPr>
          <w:rFonts w:eastAsia="Arial" w:cs="Arial" w:ascii="Times New Roman" w:hAnsi="Times New Roman"/>
        </w:rPr>
        <w:t>der causa à inexecução parcial do contrato;</w:t>
      </w:r>
    </w:p>
    <w:p>
      <w:pPr>
        <w:pStyle w:val="Normal"/>
        <w:numPr>
          <w:ilvl w:val="2"/>
          <w:numId w:val="3"/>
        </w:numPr>
        <w:tabs>
          <w:tab w:val="left" w:pos="286" w:leader="none"/>
        </w:tabs>
        <w:suppressAutoHyphens w:val="true"/>
        <w:spacing w:lineRule="auto" w:line="276" w:before="120" w:after="120"/>
        <w:ind w:left="0" w:hanging="0"/>
        <w:jc w:val="both"/>
        <w:rPr>
          <w:rFonts w:ascii="Arial" w:hAnsi="Arial" w:eastAsia="Arial" w:cs="Arial"/>
        </w:rPr>
      </w:pPr>
      <w:r>
        <w:rPr>
          <w:rFonts w:eastAsia="Arial" w:cs="Arial" w:ascii="Times New Roman" w:hAnsi="Times New Roman"/>
        </w:rPr>
        <w:t>der causa à inexecução parcial do contrato que cause grave dano à Administração ou ao funcionamento dos serviços públicos ou ao interesse coletivo;</w:t>
      </w:r>
    </w:p>
    <w:p>
      <w:pPr>
        <w:pStyle w:val="Normal"/>
        <w:numPr>
          <w:ilvl w:val="2"/>
          <w:numId w:val="3"/>
        </w:numPr>
        <w:tabs>
          <w:tab w:val="left" w:pos="286" w:leader="none"/>
        </w:tabs>
        <w:suppressAutoHyphens w:val="true"/>
        <w:spacing w:lineRule="auto" w:line="276" w:before="120" w:after="120"/>
        <w:ind w:left="0" w:hanging="0"/>
        <w:jc w:val="both"/>
        <w:rPr>
          <w:rFonts w:ascii="Arial" w:hAnsi="Arial" w:eastAsia="Arial" w:cs="Arial"/>
        </w:rPr>
      </w:pPr>
      <w:r>
        <w:rPr>
          <w:rFonts w:eastAsia="Arial" w:cs="Arial" w:ascii="Times New Roman" w:hAnsi="Times New Roman"/>
        </w:rPr>
        <w:t>der causa à inexecução total do contrato;</w:t>
      </w:r>
    </w:p>
    <w:p>
      <w:pPr>
        <w:pStyle w:val="Normal"/>
        <w:numPr>
          <w:ilvl w:val="2"/>
          <w:numId w:val="3"/>
        </w:numPr>
        <w:tabs>
          <w:tab w:val="left" w:pos="286" w:leader="none"/>
        </w:tabs>
        <w:suppressAutoHyphens w:val="true"/>
        <w:spacing w:lineRule="auto" w:line="276" w:before="120" w:after="120"/>
        <w:ind w:left="0" w:hanging="0"/>
        <w:jc w:val="both"/>
        <w:rPr>
          <w:rFonts w:ascii="Arial" w:hAnsi="Arial" w:eastAsia="Arial" w:cs="Arial"/>
        </w:rPr>
      </w:pPr>
      <w:r>
        <w:rPr>
          <w:rFonts w:eastAsia="Arial" w:cs="Arial" w:ascii="Times New Roman" w:hAnsi="Times New Roman"/>
        </w:rPr>
        <w:t>ensejar o retardamento da execução ou da entrega do objeto da contratação sem motivo justificado;</w:t>
      </w:r>
    </w:p>
    <w:p>
      <w:pPr>
        <w:pStyle w:val="Normal"/>
        <w:numPr>
          <w:ilvl w:val="2"/>
          <w:numId w:val="3"/>
        </w:numPr>
        <w:tabs>
          <w:tab w:val="left" w:pos="286" w:leader="none"/>
        </w:tabs>
        <w:suppressAutoHyphens w:val="true"/>
        <w:spacing w:lineRule="auto" w:line="276" w:before="120" w:after="120"/>
        <w:ind w:left="0" w:hanging="0"/>
        <w:jc w:val="both"/>
        <w:rPr>
          <w:rFonts w:ascii="Arial" w:hAnsi="Arial" w:eastAsia="Arial" w:cs="Arial"/>
        </w:rPr>
      </w:pPr>
      <w:r>
        <w:rPr>
          <w:rFonts w:eastAsia="Arial" w:cs="Arial" w:ascii="Times New Roman" w:hAnsi="Times New Roman"/>
        </w:rPr>
        <w:t>apresentar documentação falsa ou prestar declaração falsa durante a execução do contrato;</w:t>
      </w:r>
    </w:p>
    <w:p>
      <w:pPr>
        <w:pStyle w:val="Normal"/>
        <w:numPr>
          <w:ilvl w:val="2"/>
          <w:numId w:val="3"/>
        </w:numPr>
        <w:tabs>
          <w:tab w:val="left" w:pos="286" w:leader="none"/>
        </w:tabs>
        <w:suppressAutoHyphens w:val="true"/>
        <w:spacing w:lineRule="auto" w:line="276" w:before="120" w:after="120"/>
        <w:ind w:left="0" w:hanging="0"/>
        <w:jc w:val="both"/>
        <w:rPr>
          <w:rFonts w:ascii="Arial" w:hAnsi="Arial" w:eastAsia="Arial" w:cs="Arial"/>
        </w:rPr>
      </w:pPr>
      <w:r>
        <w:rPr>
          <w:rFonts w:eastAsia="Arial" w:cs="Arial" w:ascii="Times New Roman" w:hAnsi="Times New Roman"/>
        </w:rPr>
        <w:t>praticar ato fraudulento na execução do contrato;</w:t>
      </w:r>
    </w:p>
    <w:p>
      <w:pPr>
        <w:pStyle w:val="Normal"/>
        <w:numPr>
          <w:ilvl w:val="2"/>
          <w:numId w:val="3"/>
        </w:numPr>
        <w:tabs>
          <w:tab w:val="left" w:pos="286" w:leader="none"/>
        </w:tabs>
        <w:suppressAutoHyphens w:val="true"/>
        <w:spacing w:lineRule="auto" w:line="276" w:before="120" w:after="120"/>
        <w:ind w:left="0" w:hanging="0"/>
        <w:jc w:val="both"/>
        <w:rPr>
          <w:rFonts w:ascii="Arial" w:hAnsi="Arial" w:eastAsia="Arial" w:cs="Arial"/>
        </w:rPr>
      </w:pPr>
      <w:r>
        <w:rPr>
          <w:rFonts w:eastAsia="Arial" w:cs="Arial" w:ascii="Times New Roman" w:hAnsi="Times New Roman"/>
        </w:rPr>
        <w:t>comportar-se de modo inidôneo ou cometer fraude de qualquer natureza;</w:t>
      </w:r>
    </w:p>
    <w:p>
      <w:pPr>
        <w:pStyle w:val="Normal"/>
        <w:numPr>
          <w:ilvl w:val="2"/>
          <w:numId w:val="3"/>
        </w:numPr>
        <w:tabs>
          <w:tab w:val="left" w:pos="286" w:leader="none"/>
        </w:tabs>
        <w:suppressAutoHyphens w:val="true"/>
        <w:spacing w:lineRule="auto" w:line="276" w:before="120" w:after="120"/>
        <w:ind w:left="0" w:hanging="0"/>
        <w:jc w:val="both"/>
        <w:rPr/>
      </w:pPr>
      <w:r>
        <w:rPr>
          <w:rFonts w:eastAsia="Arial" w:cs="Arial" w:ascii="Times New Roman" w:hAnsi="Times New Roman"/>
        </w:rPr>
        <w:t xml:space="preserve">praticar ato lesivo previsto no </w:t>
      </w:r>
      <w:r>
        <w:fldChar w:fldCharType="begin"/>
      </w:r>
      <w:r>
        <w:rPr>
          <w:rStyle w:val="LinkdaInternet"/>
          <w:u w:val="none"/>
          <w:rFonts w:eastAsia="Arial" w:cs="Arial" w:ascii="Times New Roman" w:hAnsi="Times New Roman"/>
        </w:rPr>
        <w:instrText> HYPERLINK "https://www.planalto.gov.br/ccivil_03/_ato2011-2014/2013/lei/l12846.htm" \l "art5"</w:instrText>
      </w:r>
      <w:r>
        <w:rPr>
          <w:rStyle w:val="LinkdaInternet"/>
          <w:u w:val="none"/>
          <w:rFonts w:eastAsia="Arial" w:cs="Arial" w:ascii="Times New Roman" w:hAnsi="Times New Roman"/>
        </w:rPr>
        <w:fldChar w:fldCharType="separate"/>
      </w:r>
      <w:r>
        <w:rPr>
          <w:rStyle w:val="LinkdaInternet"/>
          <w:rFonts w:eastAsia="Arial" w:cs="Arial" w:ascii="Times New Roman" w:hAnsi="Times New Roman"/>
          <w:color w:val="auto"/>
          <w:u w:val="none"/>
        </w:rPr>
        <w:t>art. 5º da Lei nº 12.846, de 1º de agosto de 2013</w:t>
      </w:r>
      <w:r>
        <w:rPr>
          <w:rStyle w:val="LinkdaInternet"/>
          <w:u w:val="none"/>
          <w:rFonts w:eastAsia="Arial" w:cs="Arial" w:ascii="Times New Roman" w:hAnsi="Times New Roman"/>
        </w:rPr>
        <w:fldChar w:fldCharType="end"/>
      </w:r>
      <w:r>
        <w:rPr>
          <w:rFonts w:eastAsia="Arial" w:cs="Arial" w:ascii="Times New Roman" w:hAnsi="Times New Roman"/>
        </w:rPr>
        <w:t>.</w:t>
      </w:r>
    </w:p>
    <w:p>
      <w:pPr>
        <w:pStyle w:val="Nivel2"/>
        <w:rPr>
          <w:rFonts w:ascii="Times New Roman" w:hAnsi="Times New Roman"/>
          <w:color w:val="auto"/>
          <w:sz w:val="24"/>
          <w:szCs w:val="24"/>
        </w:rPr>
      </w:pPr>
      <w:r>
        <w:rPr>
          <w:rFonts w:ascii="Times New Roman" w:hAnsi="Times New Roman"/>
          <w:color w:val="auto"/>
          <w:sz w:val="24"/>
          <w:szCs w:val="24"/>
        </w:rPr>
        <w:t>11.2. Serão aplicadas ao contratado que incorrer nas infrações acima descritas as seguintes sanções:</w:t>
      </w:r>
    </w:p>
    <w:p>
      <w:pPr>
        <w:pStyle w:val="ListParagraph"/>
        <w:suppressAutoHyphens w:val="true"/>
        <w:spacing w:lineRule="auto" w:line="276" w:before="120" w:after="120"/>
        <w:ind w:left="0" w:hanging="0"/>
        <w:contextualSpacing/>
        <w:jc w:val="both"/>
        <w:rPr/>
      </w:pPr>
      <w:r>
        <w:rPr>
          <w:rFonts w:eastAsia="Arial" w:cs="Arial" w:ascii="Times New Roman" w:hAnsi="Times New Roman"/>
          <w:bCs/>
        </w:rPr>
        <w:t>11.2.1</w:t>
      </w:r>
      <w:r>
        <w:rPr>
          <w:rFonts w:eastAsia="Arial" w:cs="Arial" w:ascii="Times New Roman" w:hAnsi="Times New Roman"/>
          <w:b/>
          <w:bCs/>
        </w:rPr>
        <w:t xml:space="preserve"> Advertência</w:t>
      </w:r>
      <w:r>
        <w:rPr>
          <w:rFonts w:eastAsia="Arial" w:cs="Arial" w:ascii="Times New Roman" w:hAnsi="Times New Roman"/>
        </w:rPr>
        <w:t>, quando o contratado der causa à inexecução parcial do contrato, sempre que não se justificar a imposição de penalidade mais grave (</w:t>
      </w:r>
      <w:r>
        <w:fldChar w:fldCharType="begin"/>
      </w:r>
      <w:r>
        <w:rPr>
          <w:rStyle w:val="LinkdaInternet"/>
          <w:u w:val="none"/>
          <w:rFonts w:eastAsia="Arial" w:cs="Arial" w:ascii="Times New Roman" w:hAnsi="Times New Roman"/>
        </w:rPr>
        <w:instrText> HYPERLINK "http://www.planalto.gov.br/ccivil_03/_ato2019-2022/2021/lei/L14133.htm" \l "art156§2"</w:instrText>
      </w:r>
      <w:r>
        <w:rPr>
          <w:rStyle w:val="LinkdaInternet"/>
          <w:u w:val="none"/>
          <w:rFonts w:eastAsia="Arial" w:cs="Arial" w:ascii="Times New Roman" w:hAnsi="Times New Roman"/>
        </w:rPr>
        <w:fldChar w:fldCharType="separate"/>
      </w:r>
      <w:r>
        <w:rPr>
          <w:rStyle w:val="LinkdaInternet"/>
          <w:rFonts w:eastAsia="Arial" w:cs="Arial" w:ascii="Times New Roman" w:hAnsi="Times New Roman"/>
          <w:color w:val="auto"/>
          <w:u w:val="none"/>
        </w:rPr>
        <w:t xml:space="preserve">art. 156, §2º, da </w:t>
      </w:r>
      <w:r>
        <w:rPr>
          <w:rStyle w:val="LinkdaInternet"/>
          <w:u w:val="none"/>
          <w:rFonts w:eastAsia="Arial" w:cs="Arial" w:ascii="Times New Roman" w:hAnsi="Times New Roman"/>
        </w:rPr>
        <w:fldChar w:fldCharType="end"/>
      </w:r>
      <w:bookmarkStart w:id="3" w:name="_Hlk114504069"/>
      <w:r>
        <w:rPr>
          <w:rStyle w:val="LinkdaInternet"/>
          <w:rFonts w:eastAsia="Arial" w:cs="Arial" w:ascii="Times New Roman" w:hAnsi="Times New Roman"/>
          <w:color w:val="auto"/>
          <w:u w:val="none"/>
        </w:rPr>
        <w:t>Lei nº 14.133, de 2021</w:t>
      </w:r>
      <w:bookmarkEnd w:id="3"/>
      <w:r>
        <w:rPr>
          <w:rFonts w:eastAsia="Arial" w:cs="Arial" w:ascii="Times New Roman" w:hAnsi="Times New Roman"/>
        </w:rPr>
        <w:t>);</w:t>
      </w:r>
    </w:p>
    <w:p>
      <w:pPr>
        <w:pStyle w:val="ListParagraph"/>
        <w:suppressAutoHyphens w:val="true"/>
        <w:spacing w:lineRule="auto" w:line="276" w:before="120" w:after="120"/>
        <w:ind w:left="0" w:hanging="0"/>
        <w:contextualSpacing/>
        <w:jc w:val="both"/>
        <w:rPr/>
      </w:pPr>
      <w:r>
        <w:rPr>
          <w:rFonts w:eastAsia="Arial" w:cs="Arial" w:ascii="Times New Roman" w:hAnsi="Times New Roman"/>
          <w:bCs/>
        </w:rPr>
        <w:t>11.2.2.</w:t>
      </w:r>
      <w:r>
        <w:rPr>
          <w:rFonts w:eastAsia="Arial" w:cs="Arial" w:ascii="Times New Roman" w:hAnsi="Times New Roman"/>
          <w:b/>
          <w:bCs/>
        </w:rPr>
        <w:t xml:space="preserve"> Impedimento de licitar e contratar</w:t>
      </w:r>
      <w:r>
        <w:rPr>
          <w:rFonts w:eastAsia="Arial" w:cs="Arial" w:ascii="Times New Roman" w:hAnsi="Times New Roman"/>
        </w:rPr>
        <w:t>, quando praticadas as condutas descritas nas alíneas “b”, “c” e “d” do subitem acima deste Contrato, sempre que não se justificar a imposição de penalidade mais grave (</w:t>
      </w:r>
      <w:r>
        <w:fldChar w:fldCharType="begin"/>
      </w:r>
      <w:r>
        <w:rPr>
          <w:rStyle w:val="LinkdaInternet"/>
          <w:u w:val="none"/>
          <w:rFonts w:eastAsia="Arial" w:cs="Arial" w:ascii="Times New Roman" w:hAnsi="Times New Roman"/>
        </w:rPr>
        <w:instrText> HYPERLINK "http://www.planalto.gov.br/ccivil_03/_ato2019-2022/2021/lei/L14133.htm" \l "art156§4"</w:instrText>
      </w:r>
      <w:r>
        <w:rPr>
          <w:rStyle w:val="LinkdaInternet"/>
          <w:u w:val="none"/>
          <w:rFonts w:eastAsia="Arial" w:cs="Arial" w:ascii="Times New Roman" w:hAnsi="Times New Roman"/>
        </w:rPr>
        <w:fldChar w:fldCharType="separate"/>
      </w:r>
      <w:r>
        <w:rPr>
          <w:rStyle w:val="LinkdaInternet"/>
          <w:rFonts w:eastAsia="Arial" w:cs="Arial" w:ascii="Times New Roman" w:hAnsi="Times New Roman"/>
          <w:color w:val="auto"/>
          <w:u w:val="none"/>
        </w:rPr>
        <w:t>art. 156, § 4º, da Lei nº 14.133, de 2021</w:t>
      </w:r>
      <w:r>
        <w:rPr>
          <w:rStyle w:val="LinkdaInternet"/>
          <w:u w:val="none"/>
          <w:rFonts w:eastAsia="Arial" w:cs="Arial" w:ascii="Times New Roman" w:hAnsi="Times New Roman"/>
        </w:rPr>
        <w:fldChar w:fldCharType="end"/>
      </w:r>
      <w:r>
        <w:rPr>
          <w:rFonts w:eastAsia="Arial" w:cs="Arial" w:ascii="Times New Roman" w:hAnsi="Times New Roman"/>
        </w:rPr>
        <w:t>);</w:t>
      </w:r>
    </w:p>
    <w:p>
      <w:pPr>
        <w:pStyle w:val="ListParagraph"/>
        <w:suppressAutoHyphens w:val="true"/>
        <w:spacing w:lineRule="auto" w:line="276" w:before="120" w:after="120"/>
        <w:ind w:left="0" w:hanging="0"/>
        <w:contextualSpacing/>
        <w:jc w:val="both"/>
        <w:rPr/>
      </w:pPr>
      <w:r>
        <w:rPr>
          <w:rFonts w:eastAsia="Arial" w:cs="Arial" w:ascii="Times New Roman" w:hAnsi="Times New Roman"/>
          <w:bCs/>
        </w:rPr>
        <w:t>11.2.3.</w:t>
      </w:r>
      <w:r>
        <w:rPr>
          <w:rFonts w:eastAsia="Arial" w:cs="Arial" w:ascii="Times New Roman" w:hAnsi="Times New Roman"/>
          <w:b/>
          <w:bCs/>
        </w:rPr>
        <w:t xml:space="preserve"> Declaração de inidoneidade para licitar e contratar</w:t>
      </w:r>
      <w:r>
        <w:rPr>
          <w:rFonts w:eastAsia="Arial" w:cs="Arial" w:ascii="Times New Roman" w:hAnsi="Times New Roman"/>
        </w:rPr>
        <w:t>, quando praticadas as condutas descritas nas alíneas “e”, “f”, “g” e “h” do subitem acima deste Contrato, bem como nas alíneas “b”, “c” e “d”, que justifiquem a imposição de penalidade mais grave (</w:t>
      </w:r>
      <w:r>
        <w:fldChar w:fldCharType="begin"/>
      </w:r>
      <w:r>
        <w:rPr>
          <w:rStyle w:val="LinkdaInternet"/>
          <w:u w:val="none"/>
          <w:rFonts w:eastAsia="Arial" w:cs="Arial" w:ascii="Times New Roman" w:hAnsi="Times New Roman"/>
        </w:rPr>
        <w:instrText> HYPERLINK "http://www.planalto.gov.br/ccivil_03/_ato2019-2022/2021/lei/L14133.htm" \l "art156§5"</w:instrText>
      </w:r>
      <w:r>
        <w:rPr>
          <w:rStyle w:val="LinkdaInternet"/>
          <w:u w:val="none"/>
          <w:rFonts w:eastAsia="Arial" w:cs="Arial" w:ascii="Times New Roman" w:hAnsi="Times New Roman"/>
        </w:rPr>
        <w:fldChar w:fldCharType="separate"/>
      </w:r>
      <w:r>
        <w:rPr>
          <w:rStyle w:val="LinkdaInternet"/>
          <w:rFonts w:eastAsia="Arial" w:cs="Arial" w:ascii="Times New Roman" w:hAnsi="Times New Roman"/>
          <w:color w:val="auto"/>
          <w:u w:val="none"/>
        </w:rPr>
        <w:t>art. 156, §5º, da Lei nº 14.133, de 2021</w:t>
      </w:r>
      <w:r>
        <w:rPr>
          <w:rStyle w:val="LinkdaInternet"/>
          <w:u w:val="none"/>
          <w:rFonts w:eastAsia="Arial" w:cs="Arial" w:ascii="Times New Roman" w:hAnsi="Times New Roman"/>
        </w:rPr>
        <w:fldChar w:fldCharType="end"/>
      </w:r>
      <w:r>
        <w:rPr>
          <w:rFonts w:eastAsia="Arial" w:cs="Arial" w:ascii="Times New Roman" w:hAnsi="Times New Roman"/>
        </w:rPr>
        <w:t>).</w:t>
      </w:r>
    </w:p>
    <w:p>
      <w:pPr>
        <w:pStyle w:val="ListParagraph"/>
        <w:suppressAutoHyphens w:val="true"/>
        <w:spacing w:lineRule="auto" w:line="276" w:before="120" w:after="120"/>
        <w:ind w:left="0" w:hanging="0"/>
        <w:contextualSpacing/>
        <w:jc w:val="both"/>
        <w:rPr/>
      </w:pPr>
      <w:r>
        <w:rPr>
          <w:rFonts w:eastAsia="Arial" w:cs="Arial" w:ascii="Times New Roman" w:hAnsi="Times New Roman"/>
          <w:bCs/>
        </w:rPr>
        <w:t>11.2.4.</w:t>
      </w:r>
      <w:r>
        <w:rPr>
          <w:rFonts w:eastAsia="Arial" w:cs="Arial" w:ascii="Times New Roman" w:hAnsi="Times New Roman"/>
          <w:b/>
          <w:bCs/>
        </w:rPr>
        <w:t xml:space="preserve"> Multa:</w:t>
      </w:r>
    </w:p>
    <w:p>
      <w:pPr>
        <w:pStyle w:val="ListParagraph"/>
        <w:suppressAutoHyphens w:val="true"/>
        <w:spacing w:lineRule="auto" w:line="276" w:before="120" w:after="120"/>
        <w:ind w:left="0" w:hanging="0"/>
        <w:contextualSpacing/>
        <w:jc w:val="both"/>
        <w:rPr>
          <w:rFonts w:ascii="Times New Roman" w:hAnsi="Times New Roman"/>
        </w:rPr>
      </w:pPr>
      <w:r>
        <w:rPr>
          <w:rFonts w:eastAsia="Arial" w:cs="Arial" w:ascii="Times New Roman" w:hAnsi="Times New Roman"/>
        </w:rPr>
        <w:t>11.2.4.1. Moratória de 0,5% (zero virgula cinco por cento) por dia de atraso injustificado sobre o valor da parcela inadimplida, até o limite de 30 (trinta) dias;</w:t>
      </w:r>
    </w:p>
    <w:p>
      <w:pPr>
        <w:pStyle w:val="ListParagraph"/>
        <w:suppressAutoHyphens w:val="true"/>
        <w:spacing w:lineRule="auto" w:line="276" w:before="120" w:after="120"/>
        <w:ind w:left="0" w:hanging="0"/>
        <w:contextualSpacing/>
        <w:rPr>
          <w:rFonts w:ascii="Times New Roman" w:hAnsi="Times New Roman" w:eastAsia="Arial" w:cs="Arial"/>
          <w:iCs/>
        </w:rPr>
      </w:pPr>
      <w:r>
        <w:rPr>
          <w:rFonts w:eastAsia="Arial" w:cs="Arial" w:ascii="Times New Roman" w:hAnsi="Times New Roman"/>
          <w:iCs/>
        </w:rPr>
        <w:t xml:space="preserve">11.3. O atraso superior a 30 (trinta) dias autoriza a Administração a promover a extinção do contrato por descumprimento ou cumprimento irregular de suas cláusulas, conforme dispõe o inciso I do art. 137 da Lei n. 14.133, de 2021. </w:t>
      </w:r>
    </w:p>
    <w:p>
      <w:pPr>
        <w:pStyle w:val="ListParagraph"/>
        <w:suppressAutoHyphens w:val="true"/>
        <w:spacing w:lineRule="auto" w:line="276" w:before="120" w:after="120"/>
        <w:ind w:left="0" w:hanging="0"/>
        <w:contextualSpacing/>
        <w:rPr/>
      </w:pPr>
      <w:r>
        <w:rPr>
          <w:rFonts w:eastAsia="Arial" w:cs="Arial" w:ascii="Times New Roman" w:hAnsi="Times New Roman"/>
          <w:iCs/>
        </w:rPr>
        <w:t xml:space="preserve">11.4. </w:t>
      </w:r>
      <w:r>
        <w:rPr>
          <w:rFonts w:ascii="Times New Roman" w:hAnsi="Times New Roman"/>
        </w:rPr>
        <w:t>A aplicação das sanções previstas neste Contrato não exclui, em hipótese alguma, a obrigação de reparação integral do dano causado ao Contratante (</w:t>
      </w:r>
      <w:r>
        <w:fldChar w:fldCharType="begin"/>
      </w:r>
      <w:r>
        <w:rPr>
          <w:rStyle w:val="LinkdaInternet"/>
          <w:u w:val="none"/>
          <w:rFonts w:ascii="Times New Roman" w:hAnsi="Times New Roman"/>
        </w:rPr>
        <w:instrText> HYPERLINK "http://www.planalto.gov.br/ccivil_03/_ato2019-2022/2021/lei/L14133.htm" \l "art156§9"</w:instrText>
      </w:r>
      <w:r>
        <w:rPr>
          <w:rStyle w:val="LinkdaInternet"/>
          <w:u w:val="none"/>
          <w:rFonts w:ascii="Times New Roman" w:hAnsi="Times New Roman"/>
        </w:rPr>
        <w:fldChar w:fldCharType="separate"/>
      </w:r>
      <w:r>
        <w:rPr>
          <w:rStyle w:val="LinkdaInternet"/>
          <w:rFonts w:ascii="Times New Roman" w:hAnsi="Times New Roman"/>
          <w:color w:val="auto"/>
          <w:u w:val="none"/>
        </w:rPr>
        <w:t>art. 156, §9º, da Lei nº 14.133, de 2021</w:t>
      </w:r>
      <w:r>
        <w:rPr>
          <w:rStyle w:val="LinkdaInternet"/>
          <w:u w:val="none"/>
          <w:rFonts w:ascii="Times New Roman" w:hAnsi="Times New Roman"/>
        </w:rPr>
        <w:fldChar w:fldCharType="end"/>
      </w:r>
      <w:r>
        <w:rPr>
          <w:rFonts w:ascii="Times New Roman" w:hAnsi="Times New Roman"/>
        </w:rPr>
        <w:t>)</w:t>
      </w:r>
    </w:p>
    <w:p>
      <w:pPr>
        <w:pStyle w:val="ListParagraph"/>
        <w:suppressAutoHyphens w:val="true"/>
        <w:spacing w:lineRule="auto" w:line="276" w:before="120" w:after="120"/>
        <w:ind w:left="0" w:hanging="0"/>
        <w:contextualSpacing/>
        <w:rPr/>
      </w:pPr>
      <w:r>
        <w:rPr>
          <w:rFonts w:ascii="Times New Roman" w:hAnsi="Times New Roman"/>
        </w:rPr>
        <w:t>11.5. Todas as sanções previstas neste Contrato poderão ser aplicadas cumulativamente com a multa (</w:t>
      </w:r>
      <w:r>
        <w:fldChar w:fldCharType="begin"/>
      </w:r>
      <w:r>
        <w:rPr>
          <w:rStyle w:val="LinkdaInternet"/>
          <w:u w:val="none"/>
          <w:rFonts w:ascii="Times New Roman" w:hAnsi="Times New Roman"/>
        </w:rPr>
        <w:instrText> HYPERLINK "http://www.planalto.gov.br/ccivil_03/_ato2019-2022/2021/lei/L14133.htm" \l "art156§7"</w:instrText>
      </w:r>
      <w:r>
        <w:rPr>
          <w:rStyle w:val="LinkdaInternet"/>
          <w:u w:val="none"/>
          <w:rFonts w:ascii="Times New Roman" w:hAnsi="Times New Roman"/>
        </w:rPr>
        <w:fldChar w:fldCharType="separate"/>
      </w:r>
      <w:r>
        <w:rPr>
          <w:rStyle w:val="LinkdaInternet"/>
          <w:rFonts w:ascii="Times New Roman" w:hAnsi="Times New Roman"/>
          <w:color w:val="auto"/>
          <w:u w:val="none"/>
        </w:rPr>
        <w:t>art. 156, §7º, da Lei nº 14.133, de 2021</w:t>
      </w:r>
      <w:r>
        <w:rPr>
          <w:rStyle w:val="LinkdaInternet"/>
          <w:u w:val="none"/>
          <w:rFonts w:ascii="Times New Roman" w:hAnsi="Times New Roman"/>
        </w:rPr>
        <w:fldChar w:fldCharType="end"/>
      </w:r>
      <w:r>
        <w:rPr>
          <w:rFonts w:ascii="Times New Roman" w:hAnsi="Times New Roman"/>
        </w:rPr>
        <w:t>).</w:t>
      </w:r>
    </w:p>
    <w:p>
      <w:pPr>
        <w:pStyle w:val="ListParagraph"/>
        <w:suppressAutoHyphens w:val="true"/>
        <w:spacing w:lineRule="auto" w:line="276" w:before="120" w:after="120"/>
        <w:ind w:left="0" w:hanging="0"/>
        <w:contextualSpacing/>
        <w:rPr/>
      </w:pPr>
      <w:r>
        <w:rPr>
          <w:rFonts w:ascii="Times New Roman" w:hAnsi="Times New Roman"/>
        </w:rPr>
        <w:t>11.6. Antes da aplicação da multa será facultada a defesa do interessado no prazo de 15 (quinze) dias úteis, contado da data de sua intimação (</w:t>
      </w:r>
      <w:r>
        <w:fldChar w:fldCharType="begin"/>
      </w:r>
      <w:r>
        <w:rPr>
          <w:rStyle w:val="LinkdaInternet"/>
          <w:u w:val="none"/>
          <w:rFonts w:ascii="Times New Roman" w:hAnsi="Times New Roman"/>
        </w:rPr>
        <w:instrText> HYPERLINK "http://www.planalto.gov.br/ccivil_03/_ato2019-2022/2021/lei/L14133.htm" \l "art157"</w:instrText>
      </w:r>
      <w:r>
        <w:rPr>
          <w:rStyle w:val="LinkdaInternet"/>
          <w:u w:val="none"/>
          <w:rFonts w:ascii="Times New Roman" w:hAnsi="Times New Roman"/>
        </w:rPr>
        <w:fldChar w:fldCharType="separate"/>
      </w:r>
      <w:r>
        <w:rPr>
          <w:rStyle w:val="LinkdaInternet"/>
          <w:rFonts w:ascii="Times New Roman" w:hAnsi="Times New Roman"/>
          <w:color w:val="auto"/>
          <w:u w:val="none"/>
        </w:rPr>
        <w:t>art. 157, da Lei nº 14.133, de 2021</w:t>
      </w:r>
      <w:r>
        <w:rPr>
          <w:rStyle w:val="LinkdaInternet"/>
          <w:u w:val="none"/>
          <w:rFonts w:ascii="Times New Roman" w:hAnsi="Times New Roman"/>
        </w:rPr>
        <w:fldChar w:fldCharType="end"/>
      </w:r>
      <w:r>
        <w:rPr>
          <w:rFonts w:ascii="Times New Roman" w:hAnsi="Times New Roman"/>
        </w:rPr>
        <w:t>)</w:t>
      </w:r>
    </w:p>
    <w:p>
      <w:pPr>
        <w:pStyle w:val="ListParagraph"/>
        <w:suppressAutoHyphens w:val="true"/>
        <w:spacing w:lineRule="auto" w:line="276" w:before="120" w:after="120"/>
        <w:ind w:left="0" w:hanging="0"/>
        <w:contextualSpacing/>
        <w:rPr/>
      </w:pPr>
      <w:r>
        <w:rPr>
          <w:rFonts w:ascii="Times New Roman" w:hAnsi="Times New Roman"/>
        </w:rPr>
        <w:t>11.7. 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u w:val="none"/>
          <w:rFonts w:ascii="Times New Roman" w:hAnsi="Times New Roman"/>
        </w:rPr>
        <w:instrText> HYPERLINK "http://www.planalto.gov.br/ccivil_03/_ato2019-2022/2021/lei/L14133.htm" \l "art156§8"</w:instrText>
      </w:r>
      <w:r>
        <w:rPr>
          <w:rStyle w:val="LinkdaInternet"/>
          <w:u w:val="none"/>
          <w:rFonts w:ascii="Times New Roman" w:hAnsi="Times New Roman"/>
        </w:rPr>
        <w:fldChar w:fldCharType="separate"/>
      </w:r>
      <w:r>
        <w:rPr>
          <w:rStyle w:val="LinkdaInternet"/>
          <w:rFonts w:ascii="Times New Roman" w:hAnsi="Times New Roman"/>
          <w:color w:val="auto"/>
          <w:u w:val="none"/>
        </w:rPr>
        <w:t>art. 156, §8º, da Lei nº 14.133, de 2021</w:t>
      </w:r>
      <w:r>
        <w:rPr>
          <w:rStyle w:val="LinkdaInternet"/>
          <w:u w:val="none"/>
          <w:rFonts w:ascii="Times New Roman" w:hAnsi="Times New Roman"/>
        </w:rPr>
        <w:fldChar w:fldCharType="end"/>
      </w:r>
      <w:r>
        <w:rPr>
          <w:rFonts w:ascii="Times New Roman" w:hAnsi="Times New Roman"/>
        </w:rPr>
        <w:t>).</w:t>
      </w:r>
    </w:p>
    <w:p>
      <w:pPr>
        <w:pStyle w:val="ListParagraph"/>
        <w:suppressAutoHyphens w:val="true"/>
        <w:spacing w:lineRule="auto" w:line="276" w:before="120" w:after="120"/>
        <w:ind w:left="0" w:hanging="0"/>
        <w:contextualSpacing/>
        <w:rPr>
          <w:rFonts w:ascii="Times New Roman" w:hAnsi="Times New Roman"/>
        </w:rPr>
      </w:pPr>
      <w:r>
        <w:rPr>
          <w:rFonts w:ascii="Times New Roman" w:hAnsi="Times New Roman"/>
        </w:rPr>
        <w:t xml:space="preserve">11.8. Previamente ao encaminhamento à cobrança judicial, a multa poderá ser recolhida administrativamente no prazo máximo de </w:t>
      </w:r>
      <w:r>
        <w:rPr>
          <w:rFonts w:ascii="Times New Roman" w:hAnsi="Times New Roman"/>
          <w:iCs/>
        </w:rPr>
        <w:t xml:space="preserve">05 (cinco) </w:t>
      </w:r>
      <w:r>
        <w:rPr>
          <w:rFonts w:ascii="Times New Roman" w:hAnsi="Times New Roman"/>
        </w:rPr>
        <w:t>dias úteis, a contar da data do recebimento da comunicação enviada pela autoridade competente.</w:t>
      </w:r>
      <w:bookmarkStart w:id="4" w:name="_Hlk78351618"/>
      <w:bookmarkEnd w:id="4"/>
    </w:p>
    <w:p>
      <w:pPr>
        <w:pStyle w:val="ListParagraph"/>
        <w:suppressAutoHyphens w:val="true"/>
        <w:spacing w:lineRule="auto" w:line="276" w:before="120" w:after="120"/>
        <w:ind w:left="0" w:hanging="0"/>
        <w:contextualSpacing/>
        <w:rPr/>
      </w:pPr>
      <w:r>
        <w:rPr>
          <w:rFonts w:ascii="Times New Roman" w:hAnsi="Times New Roman"/>
        </w:rPr>
        <w:t xml:space="preserve">11.9. A aplicação das sanções realizar-se-á em processo administrativo que assegure o contraditório e a ampla defesa ao Contratado, observando-se o procedimento previsto no </w:t>
      </w:r>
      <w:r>
        <w:rPr>
          <w:rFonts w:ascii="Times New Roman" w:hAnsi="Times New Roman"/>
          <w:b/>
          <w:bCs/>
        </w:rPr>
        <w:t xml:space="preserve">caput </w:t>
      </w:r>
      <w:r>
        <w:rPr>
          <w:rFonts w:ascii="Times New Roman" w:hAnsi="Times New Roman"/>
        </w:rPr>
        <w:t xml:space="preserve">e parágrafos do </w:t>
      </w:r>
      <w:r>
        <w:fldChar w:fldCharType="begin"/>
      </w:r>
      <w:r>
        <w:rPr>
          <w:rStyle w:val="LinkdaInternet"/>
          <w:u w:val="none"/>
          <w:rFonts w:ascii="Times New Roman" w:hAnsi="Times New Roman"/>
        </w:rPr>
        <w:instrText> HYPERLINK "http://www.planalto.gov.br/ccivil_03/_ato2019-2022/2021/lei/L14133.htm" \l "art158"</w:instrText>
      </w:r>
      <w:r>
        <w:rPr>
          <w:rStyle w:val="LinkdaInternet"/>
          <w:u w:val="none"/>
          <w:rFonts w:ascii="Times New Roman" w:hAnsi="Times New Roman"/>
        </w:rPr>
        <w:fldChar w:fldCharType="separate"/>
      </w:r>
      <w:r>
        <w:rPr>
          <w:rStyle w:val="LinkdaInternet"/>
          <w:rFonts w:ascii="Times New Roman" w:hAnsi="Times New Roman"/>
          <w:color w:val="auto"/>
          <w:u w:val="none"/>
        </w:rPr>
        <w:t>art. 158 da Lei nº 14.133, de 2021</w:t>
      </w:r>
      <w:r>
        <w:rPr>
          <w:rStyle w:val="LinkdaInternet"/>
          <w:u w:val="none"/>
          <w:rFonts w:ascii="Times New Roman" w:hAnsi="Times New Roman"/>
        </w:rPr>
        <w:fldChar w:fldCharType="end"/>
      </w:r>
      <w:r>
        <w:rPr>
          <w:rFonts w:ascii="Times New Roman" w:hAnsi="Times New Roman"/>
        </w:rPr>
        <w:t>, para as penalidades de impedimento de licitar e contratar e de declaração de inidoneidade para licitar ou contratar.</w:t>
      </w:r>
    </w:p>
    <w:p>
      <w:pPr>
        <w:pStyle w:val="Nivel2"/>
        <w:tabs>
          <w:tab w:val="left" w:pos="505" w:leader="none"/>
        </w:tabs>
        <w:rPr/>
      </w:pPr>
      <w:r>
        <w:rPr>
          <w:rFonts w:ascii="Times New Roman" w:hAnsi="Times New Roman"/>
          <w:color w:val="auto"/>
          <w:sz w:val="24"/>
          <w:szCs w:val="24"/>
        </w:rPr>
        <w:t>11.10. Na aplicação das sanções serão considerados (</w:t>
      </w:r>
      <w:r>
        <w:fldChar w:fldCharType="begin"/>
      </w:r>
      <w:r>
        <w:rPr>
          <w:rStyle w:val="LinkdaInternet"/>
          <w:sz w:val="24"/>
          <w:u w:val="none"/>
          <w:szCs w:val="24"/>
          <w:rFonts w:ascii="Times New Roman" w:hAnsi="Times New Roman"/>
        </w:rPr>
        <w:instrText> HYPERLINK "http://www.planalto.gov.br/ccivil_03/_ato2019-2022/2021/lei/L14133.htm" \l "art156§1"</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156, §1º, da Lei nº 14.133, de 2021</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ormal"/>
        <w:numPr>
          <w:ilvl w:val="0"/>
          <w:numId w:val="1"/>
        </w:numPr>
        <w:tabs>
          <w:tab w:val="left" w:pos="286" w:leader="none"/>
        </w:tabs>
        <w:suppressAutoHyphens w:val="true"/>
        <w:spacing w:lineRule="auto" w:line="276" w:before="120" w:after="120"/>
        <w:ind w:left="0" w:hanging="0"/>
        <w:contextualSpacing/>
        <w:jc w:val="both"/>
        <w:rPr>
          <w:rFonts w:ascii="Arial" w:hAnsi="Arial" w:eastAsia="Arial" w:cs="Arial"/>
        </w:rPr>
      </w:pPr>
      <w:r>
        <w:rPr>
          <w:rFonts w:eastAsia="Arial" w:cs="Arial" w:ascii="Times New Roman" w:hAnsi="Times New Roman"/>
        </w:rPr>
        <w:t>a natureza e a gravidade da infração cometida;</w:t>
      </w:r>
    </w:p>
    <w:p>
      <w:pPr>
        <w:pStyle w:val="Normal"/>
        <w:numPr>
          <w:ilvl w:val="0"/>
          <w:numId w:val="1"/>
        </w:numPr>
        <w:tabs>
          <w:tab w:val="left" w:pos="286" w:leader="none"/>
        </w:tabs>
        <w:suppressAutoHyphens w:val="true"/>
        <w:spacing w:lineRule="auto" w:line="276" w:before="120" w:after="120"/>
        <w:ind w:left="0" w:hanging="0"/>
        <w:contextualSpacing/>
        <w:jc w:val="both"/>
        <w:rPr>
          <w:rFonts w:ascii="Arial" w:hAnsi="Arial" w:eastAsia="Arial" w:cs="Arial"/>
        </w:rPr>
      </w:pPr>
      <w:r>
        <w:rPr>
          <w:rFonts w:eastAsia="Arial" w:cs="Arial" w:ascii="Times New Roman" w:hAnsi="Times New Roman"/>
        </w:rPr>
        <w:t>as peculiaridades do caso concreto;</w:t>
      </w:r>
    </w:p>
    <w:p>
      <w:pPr>
        <w:pStyle w:val="Normal"/>
        <w:numPr>
          <w:ilvl w:val="0"/>
          <w:numId w:val="1"/>
        </w:numPr>
        <w:tabs>
          <w:tab w:val="left" w:pos="286" w:leader="none"/>
        </w:tabs>
        <w:suppressAutoHyphens w:val="true"/>
        <w:spacing w:lineRule="auto" w:line="276" w:before="120" w:after="120"/>
        <w:ind w:left="0" w:hanging="0"/>
        <w:contextualSpacing/>
        <w:jc w:val="both"/>
        <w:rPr>
          <w:rFonts w:ascii="Arial" w:hAnsi="Arial" w:eastAsia="Arial" w:cs="Arial"/>
        </w:rPr>
      </w:pPr>
      <w:r>
        <w:rPr>
          <w:rFonts w:eastAsia="Arial" w:cs="Arial" w:ascii="Times New Roman" w:hAnsi="Times New Roman"/>
        </w:rPr>
        <w:t>as circunstâncias agravantes ou atenuantes;</w:t>
      </w:r>
    </w:p>
    <w:p>
      <w:pPr>
        <w:pStyle w:val="Normal"/>
        <w:numPr>
          <w:ilvl w:val="0"/>
          <w:numId w:val="1"/>
        </w:numPr>
        <w:tabs>
          <w:tab w:val="left" w:pos="286" w:leader="none"/>
        </w:tabs>
        <w:suppressAutoHyphens w:val="true"/>
        <w:spacing w:lineRule="auto" w:line="276" w:before="120" w:after="120"/>
        <w:ind w:left="0" w:hanging="0"/>
        <w:contextualSpacing/>
        <w:jc w:val="both"/>
        <w:rPr>
          <w:rFonts w:ascii="Arial" w:hAnsi="Arial" w:eastAsia="Arial" w:cs="Arial"/>
        </w:rPr>
      </w:pPr>
      <w:r>
        <w:rPr>
          <w:rFonts w:eastAsia="Arial" w:cs="Arial" w:ascii="Times New Roman" w:hAnsi="Times New Roman"/>
        </w:rPr>
        <w:t>os danos que dela provierem para o Contratante;</w:t>
      </w:r>
    </w:p>
    <w:p>
      <w:pPr>
        <w:pStyle w:val="Normal"/>
        <w:numPr>
          <w:ilvl w:val="0"/>
          <w:numId w:val="1"/>
        </w:numPr>
        <w:tabs>
          <w:tab w:val="left" w:pos="286" w:leader="none"/>
        </w:tabs>
        <w:suppressAutoHyphens w:val="true"/>
        <w:spacing w:lineRule="auto" w:line="276" w:before="120" w:after="120"/>
        <w:ind w:left="0" w:hanging="0"/>
        <w:contextualSpacing/>
        <w:jc w:val="both"/>
        <w:rPr>
          <w:rFonts w:ascii="Arial" w:hAnsi="Arial" w:eastAsia="Arial" w:cs="Arial"/>
        </w:rPr>
      </w:pPr>
      <w:r>
        <w:rPr>
          <w:rFonts w:eastAsia="Arial" w:cs="Arial" w:ascii="Times New Roman" w:hAnsi="Times New Roman"/>
        </w:rPr>
        <w:t>a implantação ou o aperfeiçoamento de programa de integridade, conforme normas e orientações dos órgãos de controle.</w:t>
      </w:r>
    </w:p>
    <w:p>
      <w:pPr>
        <w:pStyle w:val="Nivel2"/>
        <w:tabs>
          <w:tab w:val="left" w:pos="505" w:leader="none"/>
        </w:tabs>
        <w:rPr/>
      </w:pPr>
      <w:r>
        <w:rPr>
          <w:rFonts w:ascii="Times New Roman" w:hAnsi="Times New Roman"/>
          <w:color w:val="auto"/>
          <w:sz w:val="24"/>
          <w:szCs w:val="24"/>
        </w:rPr>
        <w:t xml:space="preserve">11.11. Os atos previstos como infrações administrativas na </w:t>
      </w:r>
      <w:hyperlink r:id="rId6">
        <w:r>
          <w:rPr>
            <w:rStyle w:val="LinkdaInternet"/>
            <w:rFonts w:ascii="Times New Roman" w:hAnsi="Times New Roman"/>
            <w:color w:val="auto"/>
            <w:sz w:val="24"/>
            <w:szCs w:val="24"/>
            <w:u w:val="none"/>
          </w:rPr>
          <w:t>Lei nº 14.133, de 2021</w:t>
        </w:r>
      </w:hyperlink>
      <w:r>
        <w:rPr>
          <w:rFonts w:ascii="Times New Roman" w:hAnsi="Times New Roman"/>
          <w:color w:val="auto"/>
          <w:sz w:val="24"/>
          <w:szCs w:val="24"/>
        </w:rPr>
        <w:t xml:space="preserve">, ou em outras leis de licitações e contratos da Administração Pública que também sejam tipificados como atos lesivos na </w:t>
      </w:r>
      <w:hyperlink r:id="rId7">
        <w:r>
          <w:rPr>
            <w:rStyle w:val="LinkdaInternet"/>
            <w:rFonts w:ascii="Times New Roman" w:hAnsi="Times New Roman"/>
            <w:color w:val="auto"/>
            <w:sz w:val="24"/>
            <w:szCs w:val="24"/>
            <w:u w:val="none"/>
          </w:rPr>
          <w:t>Lei nº 12.846, de 2013</w:t>
        </w:r>
      </w:hyperlink>
      <w:r>
        <w:rPr>
          <w:rFonts w:ascii="Times New Roman" w:hAnsi="Times New Roman"/>
          <w:color w:val="auto"/>
          <w:sz w:val="24"/>
          <w:szCs w:val="24"/>
        </w:rPr>
        <w:t>, serão apurados e julgados conjuntamente, nos mesmos autos, observados o rito procedimental e autoridade competente definidos na referida Lei (</w:t>
      </w:r>
      <w:hyperlink r:id="rId8">
        <w:r>
          <w:rPr>
            <w:rStyle w:val="LinkdaInternet"/>
            <w:rFonts w:ascii="Times New Roman" w:hAnsi="Times New Roman"/>
            <w:color w:val="auto"/>
            <w:sz w:val="24"/>
            <w:szCs w:val="24"/>
            <w:u w:val="none"/>
          </w:rPr>
          <w:t>art. 159</w:t>
        </w:r>
      </w:hyperlink>
      <w:r>
        <w:rPr>
          <w:rFonts w:ascii="Times New Roman" w:hAnsi="Times New Roman"/>
          <w:color w:val="auto"/>
          <w:sz w:val="24"/>
          <w:szCs w:val="24"/>
        </w:rPr>
        <w:t>).</w:t>
      </w:r>
    </w:p>
    <w:p>
      <w:pPr>
        <w:pStyle w:val="Nivel2"/>
        <w:tabs>
          <w:tab w:val="left" w:pos="573" w:leader="none"/>
        </w:tabs>
        <w:rPr/>
      </w:pPr>
      <w:r>
        <w:rPr>
          <w:rFonts w:ascii="Times New Roman" w:hAnsi="Times New Roman"/>
          <w:color w:val="auto"/>
          <w:sz w:val="24"/>
          <w:szCs w:val="24"/>
        </w:rPr>
        <w:t>11.12.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u w:val="none"/>
          <w:szCs w:val="24"/>
          <w:rFonts w:ascii="Times New Roman" w:hAnsi="Times New Roman"/>
        </w:rPr>
        <w:instrText> HYPERLINK "http://www.planalto.gov.br/ccivil_03/_ato2019-2022/2021/lei/L14133.htm" \l "art160"</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160, da Lei nº 14.133, de 2021</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ivel2"/>
        <w:tabs>
          <w:tab w:val="left" w:pos="505" w:leader="none"/>
        </w:tabs>
        <w:rPr/>
      </w:pPr>
      <w:r>
        <w:rPr>
          <w:rFonts w:ascii="Times New Roman" w:hAnsi="Times New Roman"/>
          <w:color w:val="auto"/>
          <w:sz w:val="24"/>
          <w:szCs w:val="24"/>
        </w:rPr>
        <w:t>11.13.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u w:val="none"/>
          <w:szCs w:val="24"/>
          <w:rFonts w:ascii="Times New Roman" w:hAnsi="Times New Roman"/>
        </w:rPr>
        <w:instrText> HYPERLINK "http://www.planalto.gov.br/ccivil_03/_ato2019-2022/2021/lei/L14133.htm" \l "art161"</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161, da Lei nº 14.133, de 2021</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ivel2"/>
        <w:tabs>
          <w:tab w:val="left" w:pos="573" w:leader="none"/>
        </w:tabs>
        <w:rPr/>
      </w:pPr>
      <w:r>
        <w:rPr>
          <w:rFonts w:ascii="Times New Roman" w:hAnsi="Times New Roman"/>
          <w:color w:val="auto"/>
          <w:sz w:val="24"/>
          <w:szCs w:val="24"/>
        </w:rPr>
        <w:t xml:space="preserve">11.14. As sanções de impedimento de licitar e contratar e declaração de inidoneidade para licitar ou contratar são passíveis de reabilitação na forma do </w:t>
      </w:r>
      <w:r>
        <w:fldChar w:fldCharType="begin"/>
      </w:r>
      <w:r>
        <w:rPr>
          <w:rStyle w:val="LinkdaInternet"/>
          <w:sz w:val="24"/>
          <w:u w:val="none"/>
          <w:szCs w:val="24"/>
          <w:rFonts w:ascii="Times New Roman" w:hAnsi="Times New Roman"/>
        </w:rPr>
        <w:instrText> HYPERLINK "http://www.planalto.gov.br/ccivil_03/_ato2019-2022/2021/lei/L14133.htm" \l "163"</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163 da Lei nº 14.133/21</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ivel2"/>
        <w:tabs>
          <w:tab w:val="left" w:pos="573" w:leader="none"/>
        </w:tabs>
        <w:rPr/>
      </w:pPr>
      <w:r>
        <w:rPr>
          <w:rFonts w:ascii="Times New Roman" w:hAnsi="Times New Roman"/>
          <w:color w:val="auto"/>
          <w:sz w:val="24"/>
          <w:szCs w:val="24"/>
        </w:rPr>
        <w:t xml:space="preserve">11.15.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Fonts w:ascii="Times New Roman" w:hAnsi="Times New Roman"/>
            <w:color w:val="auto"/>
            <w:sz w:val="24"/>
            <w:szCs w:val="24"/>
            <w:u w:val="none"/>
          </w:rPr>
          <w:t>Normativa SEGES/ME nº 26, de 13 de abril de 2022</w:t>
        </w:r>
      </w:hyperlink>
      <w:r>
        <w:rPr>
          <w:rFonts w:ascii="Times New Roman" w:hAnsi="Times New Roman"/>
          <w:color w:val="auto"/>
          <w:sz w:val="24"/>
          <w:szCs w:val="24"/>
        </w:rPr>
        <w:t xml:space="preserve">. </w:t>
      </w:r>
    </w:p>
    <w:p>
      <w:pPr>
        <w:pStyle w:val="Nivel01"/>
        <w:tabs>
          <w:tab w:val="left" w:pos="395" w:leader="none"/>
          <w:tab w:val="left" w:pos="567" w:leader="none"/>
        </w:tabs>
        <w:rPr/>
      </w:pPr>
      <w:r>
        <w:rPr>
          <w:rFonts w:ascii="Times New Roman" w:hAnsi="Times New Roman"/>
          <w:sz w:val="24"/>
          <w:szCs w:val="24"/>
        </w:rPr>
        <w:t>12. CLÁUSULA DÉCIMA SEGUNDA– DA EXTINÇÃO CONTRATUAL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XIX</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vel2Red"/>
        <w:rPr>
          <w:rFonts w:ascii="Times New Roman" w:hAnsi="Times New Roman"/>
          <w:i w:val="false"/>
          <w:i w:val="false"/>
          <w:color w:val="auto"/>
          <w:sz w:val="24"/>
          <w:szCs w:val="24"/>
        </w:rPr>
      </w:pPr>
      <w:r>
        <w:rPr>
          <w:rFonts w:ascii="Times New Roman" w:hAnsi="Times New Roman"/>
          <w:i w:val="false"/>
          <w:color w:val="auto"/>
          <w:sz w:val="24"/>
          <w:szCs w:val="24"/>
        </w:rPr>
        <w:t>12.1. O contrato será extinto quando cumpridas as obrigações de ambas as partes, ainda que isso ocorra antes do prazo estipulado para tanto.</w:t>
      </w:r>
    </w:p>
    <w:p>
      <w:pPr>
        <w:pStyle w:val="Nvel2Red"/>
        <w:tabs>
          <w:tab w:val="left" w:pos="395" w:leader="none"/>
        </w:tabs>
        <w:rPr>
          <w:rFonts w:ascii="Times New Roman" w:hAnsi="Times New Roman"/>
          <w:i w:val="false"/>
          <w:i w:val="false"/>
          <w:color w:val="auto"/>
          <w:sz w:val="24"/>
          <w:szCs w:val="24"/>
        </w:rPr>
      </w:pPr>
      <w:r>
        <w:rPr>
          <w:rFonts w:ascii="Times New Roman" w:hAnsi="Times New Roman"/>
          <w:i w:val="false"/>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pPr>
        <w:pStyle w:val="Nvel3R"/>
        <w:ind w:left="0" w:hanging="0"/>
        <w:rPr>
          <w:rFonts w:ascii="Times New Roman" w:hAnsi="Times New Roman"/>
          <w:i w:val="false"/>
          <w:i w:val="false"/>
          <w:color w:val="auto"/>
          <w:sz w:val="24"/>
          <w:szCs w:val="24"/>
        </w:rPr>
      </w:pPr>
      <w:r>
        <w:rPr>
          <w:rFonts w:ascii="Times New Roman" w:hAnsi="Times New Roman"/>
          <w:i w:val="false"/>
          <w:color w:val="auto"/>
          <w:sz w:val="24"/>
          <w:szCs w:val="24"/>
        </w:rPr>
        <w:t>12.3. Quando a não conclusão do contrato referida no item anterior decorrer de culpa do contratado:</w:t>
      </w:r>
    </w:p>
    <w:p>
      <w:pPr>
        <w:pStyle w:val="ListParagraph"/>
        <w:numPr>
          <w:ilvl w:val="0"/>
          <w:numId w:val="2"/>
        </w:numPr>
        <w:tabs>
          <w:tab w:val="left" w:pos="286" w:leader="none"/>
        </w:tabs>
        <w:suppressAutoHyphens w:val="true"/>
        <w:spacing w:lineRule="auto" w:line="312" w:before="120" w:after="120"/>
        <w:ind w:left="0" w:hanging="0"/>
        <w:contextualSpacing/>
        <w:jc w:val="both"/>
        <w:rPr>
          <w:rFonts w:ascii="Arial" w:hAnsi="Arial" w:eastAsia="Arial" w:cs="Arial"/>
          <w:iCs/>
        </w:rPr>
      </w:pPr>
      <w:r>
        <w:rPr>
          <w:rFonts w:eastAsia="Arial" w:cs="Arial" w:ascii="Times New Roman" w:hAnsi="Times New Roman"/>
          <w:iCs/>
        </w:rPr>
        <w:t xml:space="preserve">ficará ele constituído em mora, sendo-lhe aplicáveis as respectivas sanções administrativas; e  </w:t>
      </w:r>
    </w:p>
    <w:p>
      <w:pPr>
        <w:pStyle w:val="ListParagraph"/>
        <w:numPr>
          <w:ilvl w:val="0"/>
          <w:numId w:val="2"/>
        </w:numPr>
        <w:tabs>
          <w:tab w:val="left" w:pos="286" w:leader="none"/>
        </w:tabs>
        <w:suppressAutoHyphens w:val="true"/>
        <w:spacing w:lineRule="auto" w:line="312" w:before="120" w:after="120"/>
        <w:ind w:left="0" w:hanging="0"/>
        <w:contextualSpacing/>
        <w:jc w:val="both"/>
        <w:rPr>
          <w:rFonts w:ascii="Arial" w:hAnsi="Arial" w:eastAsia="Arial" w:cs="Arial"/>
          <w:iCs/>
        </w:rPr>
      </w:pPr>
      <w:r>
        <w:rPr>
          <w:rFonts w:eastAsia="Arial" w:cs="Arial" w:ascii="Times New Roman" w:hAnsi="Times New Roman"/>
          <w:iCs/>
        </w:rPr>
        <w:t>poderá a Administração optar pela extinção do contrato e, nesse caso, adotará as medidas admitidas em lei para a continuidade da execução contratual.</w:t>
      </w:r>
    </w:p>
    <w:p>
      <w:pPr>
        <w:pStyle w:val="Nivel2"/>
        <w:tabs>
          <w:tab w:val="left" w:pos="505" w:leader="none"/>
        </w:tabs>
        <w:rPr/>
      </w:pPr>
      <w:r>
        <w:rPr>
          <w:rFonts w:ascii="Times New Roman" w:hAnsi="Times New Roman"/>
          <w:color w:val="auto"/>
          <w:sz w:val="24"/>
          <w:szCs w:val="24"/>
        </w:rPr>
        <w:t xml:space="preserve">12.4. O contrato poderá ser extinto antes de cumpridas as obrigações nele estipuladas, ou antes do prazo nele fixado, por algum dos motivos previstos no </w:t>
      </w:r>
      <w:r>
        <w:fldChar w:fldCharType="begin"/>
      </w:r>
      <w:r>
        <w:rPr>
          <w:rStyle w:val="LinkdaInternet"/>
          <w:sz w:val="24"/>
          <w:u w:val="none"/>
          <w:szCs w:val="24"/>
          <w:rFonts w:ascii="Times New Roman" w:hAnsi="Times New Roman"/>
        </w:rPr>
        <w:instrText> HYPERLINK "http://www.planalto.gov.br/ccivil_03/_ato2019-2022/2021/lei/L14133.htm" \l "art137"</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artigo 137 da Lei nº 14.133/21</w:t>
      </w:r>
      <w:r>
        <w:rPr>
          <w:rStyle w:val="LinkdaInternet"/>
          <w:sz w:val="24"/>
          <w:u w:val="none"/>
          <w:szCs w:val="24"/>
          <w:rFonts w:ascii="Times New Roman" w:hAnsi="Times New Roman"/>
        </w:rPr>
        <w:fldChar w:fldCharType="end"/>
      </w:r>
      <w:r>
        <w:rPr>
          <w:rFonts w:ascii="Times New Roman" w:hAnsi="Times New Roman"/>
          <w:color w:val="auto"/>
          <w:sz w:val="24"/>
          <w:szCs w:val="24"/>
        </w:rPr>
        <w:t>, bem como amigavelmente, assegurados o contraditório e a ampla defesa.</w:t>
      </w:r>
    </w:p>
    <w:p>
      <w:pPr>
        <w:pStyle w:val="Nivel3"/>
        <w:ind w:left="0" w:hanging="0"/>
        <w:rPr/>
      </w:pPr>
      <w:r>
        <w:rPr>
          <w:rFonts w:ascii="Times New Roman" w:hAnsi="Times New Roman"/>
          <w:color w:val="auto"/>
          <w:sz w:val="24"/>
          <w:szCs w:val="24"/>
        </w:rPr>
        <w:t xml:space="preserve">12.5. Nesta hipótese, aplicam-se também os </w:t>
      </w:r>
      <w:r>
        <w:fldChar w:fldCharType="begin"/>
      </w:r>
      <w:r>
        <w:rPr>
          <w:rStyle w:val="LinkdaInternet"/>
          <w:sz w:val="24"/>
          <w:u w:val="none"/>
          <w:szCs w:val="24"/>
          <w:rFonts w:ascii="Times New Roman" w:hAnsi="Times New Roman"/>
        </w:rPr>
        <w:instrText> HYPERLINK "http://www.planalto.gov.br/ccivil_03/_ato2019-2022/2021/lei/L14133.htm" \l "art138"</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artigos 138 e 139 da mesma Lei</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ivel3"/>
        <w:ind w:left="0" w:hanging="0"/>
        <w:rPr>
          <w:rFonts w:ascii="Times New Roman" w:hAnsi="Times New Roman"/>
          <w:color w:val="auto"/>
          <w:sz w:val="24"/>
          <w:szCs w:val="24"/>
        </w:rPr>
      </w:pPr>
      <w:r>
        <w:rPr>
          <w:rFonts w:ascii="Times New Roman" w:hAnsi="Times New Roman"/>
          <w:color w:val="auto"/>
          <w:sz w:val="24"/>
          <w:szCs w:val="24"/>
        </w:rPr>
        <w:t>12.6. A alteração social ou a modificação da finalidade ou da estrutura da empresa não ensejará a extinção se não restringir sua capacidade de concluir o contrato.</w:t>
      </w:r>
    </w:p>
    <w:p>
      <w:pPr>
        <w:pStyle w:val="Nivel4"/>
        <w:tabs>
          <w:tab w:val="left" w:pos="968" w:leader="none"/>
        </w:tabs>
        <w:ind w:left="0" w:hanging="0"/>
        <w:rPr>
          <w:sz w:val="24"/>
          <w:szCs w:val="24"/>
        </w:rPr>
      </w:pPr>
      <w:r>
        <w:rPr>
          <w:rFonts w:ascii="Times New Roman" w:hAnsi="Times New Roman"/>
          <w:sz w:val="24"/>
          <w:szCs w:val="24"/>
        </w:rPr>
        <w:t>12.7. Se a operação implicar mudança da pessoa jurídica contratada, deverá ser formalizado termo aditivo para alteração subjetiva.</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12.8. O termo de extinção, sempre que possível, será precedido:</w:t>
      </w:r>
    </w:p>
    <w:p>
      <w:pPr>
        <w:pStyle w:val="Nivel3"/>
        <w:ind w:left="0" w:hanging="0"/>
        <w:rPr>
          <w:rFonts w:ascii="Times New Roman" w:hAnsi="Times New Roman"/>
          <w:color w:val="auto"/>
          <w:sz w:val="24"/>
          <w:szCs w:val="24"/>
        </w:rPr>
      </w:pPr>
      <w:r>
        <w:rPr>
          <w:rFonts w:ascii="Times New Roman" w:hAnsi="Times New Roman"/>
          <w:color w:val="auto"/>
          <w:sz w:val="24"/>
          <w:szCs w:val="24"/>
        </w:rPr>
        <w:t>12.8.1. Balanço dos eventos contratuais já cumpridos ou parcialmente cumpridos;</w:t>
      </w:r>
    </w:p>
    <w:p>
      <w:pPr>
        <w:pStyle w:val="Nivel3"/>
        <w:ind w:left="0" w:hanging="0"/>
        <w:rPr>
          <w:rFonts w:ascii="Times New Roman" w:hAnsi="Times New Roman"/>
          <w:color w:val="auto"/>
          <w:sz w:val="24"/>
          <w:szCs w:val="24"/>
        </w:rPr>
      </w:pPr>
      <w:r>
        <w:rPr>
          <w:rFonts w:ascii="Times New Roman" w:hAnsi="Times New Roman"/>
          <w:color w:val="auto"/>
          <w:sz w:val="24"/>
          <w:szCs w:val="24"/>
        </w:rPr>
        <w:t>12.8.1. Relação dos pagamentos já efetuados e ainda devidos;</w:t>
      </w:r>
    </w:p>
    <w:p>
      <w:pPr>
        <w:pStyle w:val="Nivel3"/>
        <w:ind w:left="0" w:hanging="0"/>
        <w:rPr>
          <w:rFonts w:ascii="Times New Roman" w:hAnsi="Times New Roman"/>
          <w:color w:val="auto"/>
          <w:sz w:val="24"/>
          <w:szCs w:val="24"/>
        </w:rPr>
      </w:pPr>
      <w:r>
        <w:rPr>
          <w:rFonts w:ascii="Times New Roman" w:hAnsi="Times New Roman"/>
          <w:color w:val="auto"/>
          <w:sz w:val="24"/>
          <w:szCs w:val="24"/>
        </w:rPr>
        <w:t>12.8.1. Indenizações e multas.</w:t>
      </w:r>
    </w:p>
    <w:p>
      <w:pPr>
        <w:pStyle w:val="Nivel2"/>
        <w:rPr/>
      </w:pPr>
      <w:r>
        <w:rPr>
          <w:rFonts w:ascii="Times New Roman" w:hAnsi="Times New Roman"/>
          <w:color w:val="auto"/>
          <w:sz w:val="24"/>
          <w:szCs w:val="24"/>
        </w:rPr>
        <w:t>12.9. A extinção do contrato não configura óbice para o reconhecimento do desequilíbrio econômico-financeiro, hipótese em que será concedida indenização por meio de termo indenizatório (</w:t>
      </w:r>
      <w:r>
        <w:fldChar w:fldCharType="begin"/>
      </w:r>
      <w:r>
        <w:rPr>
          <w:rStyle w:val="LinkdaInternet"/>
          <w:sz w:val="24"/>
          <w:u w:val="none"/>
          <w:szCs w:val="24"/>
          <w:rFonts w:ascii="Times New Roman" w:hAnsi="Times New Roman"/>
        </w:rPr>
        <w:instrText> HYPERLINK "http://www.planalto.gov.br/ccivil_03/_ato2019-2022/2021/lei/L14133.htm" \l "art131"</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 xml:space="preserve">art. 131, </w:t>
      </w:r>
      <w:r>
        <w:rPr>
          <w:rStyle w:val="LinkdaInternet"/>
          <w:sz w:val="24"/>
          <w:u w:val="none"/>
          <w:szCs w:val="24"/>
          <w:rFonts w:ascii="Times New Roman" w:hAnsi="Times New Roman"/>
        </w:rPr>
        <w:fldChar w:fldCharType="end"/>
      </w:r>
      <w:r>
        <w:rPr>
          <w:rStyle w:val="LinkdaInternet"/>
          <w:rFonts w:ascii="Times New Roman" w:hAnsi="Times New Roman"/>
          <w:i/>
          <w:iCs/>
          <w:color w:val="auto"/>
          <w:sz w:val="24"/>
          <w:szCs w:val="24"/>
          <w:u w:val="none"/>
        </w:rPr>
        <w:t xml:space="preserve">caput, </w:t>
      </w:r>
      <w:r>
        <w:rPr>
          <w:rStyle w:val="LinkdaInternet"/>
          <w:rFonts w:ascii="Times New Roman" w:hAnsi="Times New Roman"/>
          <w:color w:val="auto"/>
          <w:sz w:val="24"/>
          <w:szCs w:val="24"/>
          <w:u w:val="none"/>
        </w:rPr>
        <w:t>da Lei n.º 14.133, de 2021</w:t>
      </w:r>
      <w:r>
        <w:rPr>
          <w:rFonts w:ascii="Times New Roman" w:hAnsi="Times New Roman"/>
          <w:color w:val="auto"/>
          <w:sz w:val="24"/>
          <w:szCs w:val="24"/>
        </w:rPr>
        <w:t xml:space="preserve">). </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12.10.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tabs>
          <w:tab w:val="left" w:pos="450" w:leader="none"/>
          <w:tab w:val="left" w:pos="567" w:leader="none"/>
        </w:tabs>
        <w:rPr/>
      </w:pPr>
      <w:r>
        <w:rPr>
          <w:rFonts w:ascii="Times New Roman" w:hAnsi="Times New Roman"/>
          <w:sz w:val="24"/>
          <w:szCs w:val="24"/>
        </w:rPr>
        <w:t>13. CLÁUSULA DÉCIMA TERCEIRA – DOTAÇÃO ORÇAMENTÁRIA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VIII</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13.1. As despesas decorrentes da presente contratação correrão à conta de recursos específicos consignados no Orçamento Geral da União deste exercício, na dotação abaixo discriminada:</w:t>
      </w:r>
    </w:p>
    <w:p>
      <w:pPr>
        <w:pStyle w:val="Nivel3"/>
        <w:spacing w:lineRule="auto" w:line="240"/>
        <w:ind w:left="0" w:hanging="0"/>
        <w:rPr>
          <w:rFonts w:ascii="Times New Roman" w:hAnsi="Times New Roman"/>
          <w:color w:val="auto"/>
          <w:sz w:val="24"/>
          <w:szCs w:val="24"/>
        </w:rPr>
      </w:pPr>
      <w:r>
        <w:rPr>
          <w:rFonts w:ascii="Times New Roman" w:hAnsi="Times New Roman"/>
          <w:color w:val="auto"/>
          <w:sz w:val="24"/>
          <w:szCs w:val="24"/>
        </w:rPr>
        <w:t xml:space="preserve">Gestão/Unidade: </w:t>
      </w:r>
    </w:p>
    <w:p>
      <w:pPr>
        <w:pStyle w:val="Nivel3"/>
        <w:spacing w:lineRule="auto" w:line="240"/>
        <w:ind w:left="0" w:hanging="0"/>
        <w:rPr>
          <w:rFonts w:ascii="Times New Roman" w:hAnsi="Times New Roman"/>
          <w:color w:val="auto"/>
          <w:sz w:val="24"/>
          <w:szCs w:val="24"/>
        </w:rPr>
      </w:pPr>
      <w:r>
        <w:rPr>
          <w:rFonts w:ascii="Times New Roman" w:hAnsi="Times New Roman"/>
          <w:color w:val="auto"/>
          <w:sz w:val="24"/>
          <w:szCs w:val="24"/>
        </w:rPr>
        <w:t xml:space="preserve">Fonte de Recursos:  </w:t>
      </w:r>
    </w:p>
    <w:p>
      <w:pPr>
        <w:pStyle w:val="Nivel3"/>
        <w:spacing w:lineRule="auto" w:line="240"/>
        <w:ind w:left="0" w:hanging="0"/>
        <w:rPr>
          <w:rFonts w:ascii="Times New Roman" w:hAnsi="Times New Roman"/>
          <w:color w:val="auto"/>
          <w:sz w:val="24"/>
          <w:szCs w:val="24"/>
        </w:rPr>
      </w:pPr>
      <w:r>
        <w:rPr>
          <w:rFonts w:ascii="Times New Roman" w:hAnsi="Times New Roman"/>
          <w:color w:val="auto"/>
          <w:sz w:val="24"/>
          <w:szCs w:val="24"/>
        </w:rPr>
        <w:t xml:space="preserve">Programa de Trabalho: </w:t>
      </w:r>
    </w:p>
    <w:p>
      <w:pPr>
        <w:pStyle w:val="Nivel3"/>
        <w:spacing w:lineRule="auto" w:line="240"/>
        <w:ind w:left="0" w:hanging="0"/>
        <w:rPr>
          <w:rFonts w:ascii="Times New Roman" w:hAnsi="Times New Roman"/>
          <w:color w:val="auto"/>
          <w:sz w:val="24"/>
          <w:szCs w:val="24"/>
        </w:rPr>
      </w:pPr>
      <w:r>
        <w:rPr>
          <w:rFonts w:ascii="Times New Roman" w:hAnsi="Times New Roman"/>
          <w:color w:val="auto"/>
          <w:sz w:val="24"/>
          <w:szCs w:val="24"/>
        </w:rPr>
        <w:t xml:space="preserve">Elemento de Despesa: </w:t>
      </w:r>
    </w:p>
    <w:p>
      <w:pPr>
        <w:pStyle w:val="Nivel3"/>
        <w:spacing w:lineRule="auto" w:line="240"/>
        <w:ind w:left="0" w:hanging="0"/>
        <w:rPr>
          <w:rFonts w:ascii="Times New Roman" w:hAnsi="Times New Roman"/>
          <w:color w:val="auto"/>
          <w:sz w:val="24"/>
          <w:szCs w:val="24"/>
        </w:rPr>
      </w:pPr>
      <w:r>
        <w:rPr>
          <w:rFonts w:ascii="Times New Roman" w:hAnsi="Times New Roman"/>
          <w:color w:val="auto"/>
          <w:sz w:val="24"/>
          <w:szCs w:val="24"/>
        </w:rPr>
        <w:t xml:space="preserve">Plano Interno: </w:t>
      </w:r>
    </w:p>
    <w:p>
      <w:pPr>
        <w:pStyle w:val="Nivel3"/>
        <w:spacing w:lineRule="auto" w:line="240"/>
        <w:ind w:left="0" w:hanging="0"/>
        <w:rPr>
          <w:rFonts w:ascii="Times New Roman" w:hAnsi="Times New Roman"/>
          <w:color w:val="auto"/>
          <w:sz w:val="24"/>
          <w:szCs w:val="24"/>
        </w:rPr>
      </w:pPr>
      <w:r>
        <w:rPr>
          <w:rFonts w:ascii="Times New Roman" w:hAnsi="Times New Roman"/>
          <w:color w:val="auto"/>
          <w:sz w:val="24"/>
          <w:szCs w:val="24"/>
        </w:rPr>
        <w:t>Nota de Empenho:</w:t>
      </w:r>
    </w:p>
    <w:p>
      <w:pPr>
        <w:pStyle w:val="Nvel2Red"/>
        <w:rPr>
          <w:rFonts w:ascii="Times New Roman" w:hAnsi="Times New Roman"/>
          <w:i w:val="false"/>
          <w:i w:val="false"/>
          <w:color w:val="auto"/>
          <w:sz w:val="24"/>
          <w:szCs w:val="24"/>
        </w:rPr>
      </w:pPr>
      <w:r>
        <w:rPr>
          <w:rFonts w:ascii="Times New Roman" w:hAnsi="Times New Roman"/>
          <w:i w:val="false"/>
          <w:color w:val="auto"/>
          <w:sz w:val="24"/>
          <w:szCs w:val="24"/>
        </w:rPr>
        <w:t>13.2. A dotação relativa aos exercícios financeiros subsequentes será indicada após aprovação da Lei Orçamentária respectiva e liberação dos créditos correspondentes, mediante apostilamento.</w:t>
      </w:r>
    </w:p>
    <w:p>
      <w:pPr>
        <w:pStyle w:val="Nivel01"/>
        <w:tabs>
          <w:tab w:val="left" w:pos="395" w:leader="none"/>
          <w:tab w:val="left" w:pos="567" w:leader="none"/>
        </w:tabs>
        <w:rPr/>
      </w:pPr>
      <w:r>
        <w:rPr>
          <w:rFonts w:ascii="Times New Roman" w:hAnsi="Times New Roman"/>
          <w:sz w:val="24"/>
          <w:szCs w:val="24"/>
        </w:rPr>
        <w:t>14. CLÁUSULA DÉCIMA QUARTA – DOS CASOS OMISSOS (</w:t>
      </w:r>
      <w:r>
        <w:fldChar w:fldCharType="begin"/>
      </w:r>
      <w:r>
        <w:rPr>
          <w:rStyle w:val="LinkdaInternet"/>
          <w:sz w:val="24"/>
          <w:u w:val="none"/>
          <w:szCs w:val="24"/>
          <w:rFonts w:ascii="Times New Roman" w:hAnsi="Times New Roman"/>
        </w:rPr>
        <w:instrText> HYPERLINK "http://www.planalto.gov.br/ccivil_03/_ato2019-2022/2021/lei/L14133.htm" \l "art92"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III</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ivel2"/>
        <w:tabs>
          <w:tab w:val="left" w:pos="505" w:leader="none"/>
        </w:tabs>
        <w:rPr/>
      </w:pPr>
      <w:r>
        <w:rPr>
          <w:rFonts w:ascii="Times New Roman" w:hAnsi="Times New Roman"/>
          <w:color w:val="auto"/>
          <w:sz w:val="24"/>
          <w:szCs w:val="24"/>
        </w:rPr>
        <w:t xml:space="preserve">14.1. Os casos omissos serão decididos pelo contratante, segundo as disposições contidas na Lei </w:t>
      </w:r>
      <w:hyperlink r:id="rId10">
        <w:r>
          <w:rPr>
            <w:rStyle w:val="LinkdaInternet"/>
            <w:rFonts w:ascii="Times New Roman" w:hAnsi="Times New Roman"/>
            <w:color w:val="auto"/>
            <w:sz w:val="24"/>
            <w:szCs w:val="24"/>
            <w:u w:val="none"/>
          </w:rPr>
          <w:t>nº 14.133, de 2021</w:t>
        </w:r>
      </w:hyperlink>
      <w:r>
        <w:rPr>
          <w:rFonts w:ascii="Times New Roman" w:hAnsi="Times New Roman"/>
          <w:color w:val="auto"/>
          <w:sz w:val="24"/>
          <w:szCs w:val="24"/>
        </w:rPr>
        <w:t xml:space="preserve">, e demais normas federais aplicáveis e, subsidiariamente, segundo as disposições contidas na </w:t>
      </w:r>
      <w:hyperlink r:id="rId11">
        <w:r>
          <w:rPr>
            <w:rStyle w:val="LinkdaInternet"/>
            <w:rFonts w:ascii="Times New Roman" w:hAnsi="Times New Roman"/>
            <w:color w:val="auto"/>
            <w:sz w:val="24"/>
            <w:szCs w:val="24"/>
            <w:u w:val="none"/>
          </w:rPr>
          <w:t>Lei nº 8.078, de 1990 – Código de Defesa do Consumidor</w:t>
        </w:r>
      </w:hyperlink>
      <w:r>
        <w:rPr>
          <w:rFonts w:ascii="Times New Roman" w:hAnsi="Times New Roman"/>
          <w:color w:val="auto"/>
          <w:sz w:val="24"/>
          <w:szCs w:val="24"/>
        </w:rPr>
        <w:t xml:space="preserve"> – e normas e princípios gerais dos contratos.</w:t>
      </w:r>
    </w:p>
    <w:p>
      <w:pPr>
        <w:pStyle w:val="Nivel01"/>
        <w:tabs>
          <w:tab w:val="left" w:pos="395" w:leader="none"/>
          <w:tab w:val="left" w:pos="567" w:leader="none"/>
        </w:tabs>
        <w:rPr>
          <w:sz w:val="24"/>
          <w:szCs w:val="24"/>
        </w:rPr>
      </w:pPr>
      <w:r>
        <w:rPr>
          <w:rFonts w:ascii="Times New Roman" w:hAnsi="Times New Roman"/>
          <w:sz w:val="24"/>
          <w:szCs w:val="24"/>
        </w:rPr>
        <w:t>15. CLÁUSULA DÉCIMA QUINTA – ALTERAÇÕES</w:t>
      </w:r>
    </w:p>
    <w:p>
      <w:pPr>
        <w:pStyle w:val="Nivel2"/>
        <w:tabs>
          <w:tab w:val="left" w:pos="505" w:leader="none"/>
        </w:tabs>
        <w:rPr/>
      </w:pPr>
      <w:r>
        <w:rPr>
          <w:rFonts w:ascii="Times New Roman" w:hAnsi="Times New Roman"/>
          <w:color w:val="auto"/>
          <w:sz w:val="24"/>
          <w:szCs w:val="24"/>
        </w:rPr>
        <w:t xml:space="preserve">15.1. Eventuais alterações contratuais reger-se-ão pela disciplina dos </w:t>
      </w:r>
      <w:r>
        <w:fldChar w:fldCharType="begin"/>
      </w:r>
      <w:r>
        <w:rPr>
          <w:rStyle w:val="LinkdaInternet"/>
          <w:sz w:val="24"/>
          <w:u w:val="none"/>
          <w:szCs w:val="24"/>
          <w:rFonts w:ascii="Times New Roman" w:hAnsi="Times New Roman"/>
        </w:rPr>
        <w:instrText> HYPERLINK "http://www.planalto.gov.br/ccivil_03/_ato2019-2022/2021/lei/L14133.htm" \l "art124"</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arts. 124 e seguintes da Lei nº 14.133, de 2021</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15.2. O contratado é obrigado a aceitar, nas mesmas condições contratuais, os acréscimos ou supressões que se fizerem necessários, até o limite de 25% (vinte e cinco por cento) do valor inicial atualizado do contrato.</w:t>
      </w:r>
    </w:p>
    <w:p>
      <w:pPr>
        <w:pStyle w:val="Nivel2"/>
        <w:tabs>
          <w:tab w:val="left" w:pos="573" w:leader="none"/>
        </w:tabs>
        <w:rPr>
          <w:rFonts w:ascii="Times New Roman" w:hAnsi="Times New Roman"/>
          <w:color w:val="auto"/>
          <w:sz w:val="24"/>
          <w:szCs w:val="24"/>
        </w:rPr>
      </w:pPr>
      <w:r>
        <w:rPr>
          <w:rFonts w:ascii="Times New Roman" w:hAnsi="Times New Roman"/>
          <w:color w:val="auto"/>
          <w:sz w:val="24"/>
          <w:szCs w:val="24"/>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tabs>
          <w:tab w:val="left" w:pos="573" w:leader="none"/>
        </w:tabs>
        <w:rPr/>
      </w:pPr>
      <w:r>
        <w:rPr>
          <w:rFonts w:ascii="Times New Roman" w:hAnsi="Times New Roman"/>
          <w:color w:val="auto"/>
          <w:sz w:val="24"/>
          <w:szCs w:val="24"/>
        </w:rPr>
        <w:t xml:space="preserve">15.4. Registros que não caracterizam alteração do contrato podem ser realizados por simples apostila, dispensada a celebração de termo aditivo, na forma do </w:t>
      </w:r>
      <w:r>
        <w:fldChar w:fldCharType="begin"/>
      </w:r>
      <w:r>
        <w:rPr>
          <w:rStyle w:val="LinkdaInternet"/>
          <w:sz w:val="24"/>
          <w:u w:val="none"/>
          <w:szCs w:val="24"/>
          <w:rFonts w:ascii="Times New Roman" w:hAnsi="Times New Roman"/>
        </w:rPr>
        <w:instrText> HYPERLINK "http://www.planalto.gov.br/ccivil_03/_ato2019-2022/2021/lei/L14133.htm" \l "art136"</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136 da Lei nº 14.133, de 2021</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ivel01"/>
        <w:tabs>
          <w:tab w:val="left" w:pos="395" w:leader="none"/>
          <w:tab w:val="left" w:pos="567" w:leader="none"/>
        </w:tabs>
        <w:rPr>
          <w:sz w:val="24"/>
          <w:szCs w:val="24"/>
        </w:rPr>
      </w:pPr>
      <w:r>
        <w:rPr>
          <w:rFonts w:ascii="Times New Roman" w:hAnsi="Times New Roman"/>
          <w:sz w:val="24"/>
          <w:szCs w:val="24"/>
        </w:rPr>
        <w:t>16. CLÁUSULA DÉCIMA SEXTA – PUBLICAÇÃO</w:t>
      </w:r>
    </w:p>
    <w:p>
      <w:pPr>
        <w:pStyle w:val="Nivel2"/>
        <w:tabs>
          <w:tab w:val="left" w:pos="505" w:leader="none"/>
        </w:tabs>
        <w:rPr/>
      </w:pPr>
      <w:r>
        <w:rPr>
          <w:rFonts w:ascii="Times New Roman" w:hAnsi="Times New Roman"/>
          <w:color w:val="auto"/>
          <w:sz w:val="24"/>
          <w:szCs w:val="24"/>
        </w:rPr>
        <w:t xml:space="preserve">16.1. Incumbirá ao contratante divulgar o presente instrumento no Portal Nacional de Contratações Públicas (PNCP), na forma prevista no </w:t>
      </w:r>
      <w:r>
        <w:fldChar w:fldCharType="begin"/>
      </w:r>
      <w:r>
        <w:rPr>
          <w:rStyle w:val="LinkdaInternet"/>
          <w:sz w:val="24"/>
          <w:u w:val="none"/>
          <w:szCs w:val="24"/>
          <w:rFonts w:ascii="Times New Roman" w:hAnsi="Times New Roman"/>
        </w:rPr>
        <w:instrText> HYPERLINK "http://www.planalto.gov.br/ccivil_03/_ato2019-2022/2021/lei/L14133.htm" \l "art94"</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94 da Lei 14.133, de 2021</w:t>
      </w:r>
      <w:r>
        <w:rPr>
          <w:rStyle w:val="LinkdaInternet"/>
          <w:sz w:val="24"/>
          <w:u w:val="none"/>
          <w:szCs w:val="24"/>
          <w:rFonts w:ascii="Times New Roman" w:hAnsi="Times New Roman"/>
        </w:rPr>
        <w:fldChar w:fldCharType="end"/>
      </w:r>
      <w:r>
        <w:rPr>
          <w:rFonts w:ascii="Times New Roman" w:hAnsi="Times New Roman"/>
          <w:color w:val="auto"/>
          <w:sz w:val="24"/>
          <w:szCs w:val="24"/>
        </w:rPr>
        <w:t xml:space="preserve">, bem como no respectivo sítio oficial na Internet, em atenção ao art. 91, </w:t>
      </w:r>
      <w:r>
        <w:rPr>
          <w:rFonts w:ascii="Times New Roman" w:hAnsi="Times New Roman"/>
          <w:i/>
          <w:color w:val="auto"/>
          <w:sz w:val="24"/>
          <w:szCs w:val="24"/>
        </w:rPr>
        <w:t>caput,</w:t>
      </w:r>
      <w:r>
        <w:rPr>
          <w:rFonts w:ascii="Times New Roman" w:hAnsi="Times New Roman"/>
          <w:color w:val="auto"/>
          <w:sz w:val="24"/>
          <w:szCs w:val="24"/>
        </w:rPr>
        <w:t xml:space="preserve"> da Lei n.º 14.133, de 2021, e ao </w:t>
      </w:r>
      <w:r>
        <w:fldChar w:fldCharType="begin"/>
      </w:r>
      <w:r>
        <w:rPr>
          <w:rStyle w:val="LinkdaInternet"/>
          <w:sz w:val="24"/>
          <w:u w:val="none"/>
          <w:szCs w:val="24"/>
          <w:rFonts w:ascii="Times New Roman" w:hAnsi="Times New Roman"/>
        </w:rPr>
        <w:instrText> HYPERLINK "https://www.planalto.gov.br/ccivil_03/_ato2011-2014/2011/lei/l12527.htm" \l "art8§2"</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8º, §2º, da Lei n.</w:t>
      </w:r>
      <w:r>
        <w:rPr>
          <w:rStyle w:val="LinkdaInternet"/>
          <w:sz w:val="24"/>
          <w:u w:val="none"/>
          <w:szCs w:val="24"/>
          <w:rFonts w:ascii="Times New Roman" w:hAnsi="Times New Roman"/>
        </w:rPr>
        <w:fldChar w:fldCharType="end"/>
      </w:r>
      <w:r>
        <w:rPr>
          <w:rStyle w:val="LinkdaInternet"/>
          <w:rFonts w:ascii="Times New Roman" w:hAnsi="Times New Roman"/>
          <w:color w:val="auto"/>
          <w:sz w:val="24"/>
          <w:szCs w:val="24"/>
          <w:u w:val="none"/>
        </w:rPr>
        <w:t xml:space="preserve"> 12.527, de 2011</w:t>
      </w:r>
      <w:r>
        <w:rPr>
          <w:rFonts w:ascii="Times New Roman" w:hAnsi="Times New Roman"/>
          <w:color w:val="auto"/>
          <w:sz w:val="24"/>
          <w:szCs w:val="24"/>
        </w:rPr>
        <w:t xml:space="preserve">, c/c </w:t>
      </w:r>
      <w:r>
        <w:fldChar w:fldCharType="begin"/>
      </w:r>
      <w:r>
        <w:rPr>
          <w:rStyle w:val="LinkdaInternet"/>
          <w:sz w:val="24"/>
          <w:u w:val="none"/>
          <w:szCs w:val="24"/>
          <w:rFonts w:ascii="Times New Roman" w:hAnsi="Times New Roman"/>
        </w:rPr>
        <w:instrText> HYPERLINK "https://www.planalto.gov.br/ccivil_03/_ato2011-2014/2012/decreto/d7724.htm" \l "art7§3"</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7º, §3º, inciso V, do Decreto n. 7.724, de 2012</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ivel01"/>
        <w:tabs>
          <w:tab w:val="left" w:pos="395" w:leader="none"/>
          <w:tab w:val="left" w:pos="567" w:leader="none"/>
        </w:tabs>
        <w:rPr/>
      </w:pPr>
      <w:r>
        <w:rPr>
          <w:rFonts w:ascii="Times New Roman" w:hAnsi="Times New Roman"/>
          <w:sz w:val="24"/>
          <w:szCs w:val="24"/>
        </w:rPr>
        <w:t>17. CLÁUSULA DÉCIMA SÉTIMA– FORO (</w:t>
      </w:r>
      <w:r>
        <w:fldChar w:fldCharType="begin"/>
      </w:r>
      <w:r>
        <w:rPr>
          <w:rStyle w:val="LinkdaInternet"/>
          <w:sz w:val="24"/>
          <w:u w:val="none"/>
          <w:szCs w:val="24"/>
          <w:rFonts w:ascii="Times New Roman" w:hAnsi="Times New Roman"/>
        </w:rPr>
        <w:instrText> HYPERLINK "http://www.planalto.gov.br/ccivil_03/_ato2019-2022/2021/lei/L14133.htm" \l "art92§1"</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§1º</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ivel2"/>
        <w:tabs>
          <w:tab w:val="left" w:pos="505" w:leader="none"/>
        </w:tabs>
        <w:rPr/>
      </w:pPr>
      <w:r>
        <w:rPr>
          <w:rFonts w:ascii="Times New Roman" w:hAnsi="Times New Roman"/>
          <w:color w:val="auto"/>
          <w:sz w:val="24"/>
          <w:szCs w:val="24"/>
          <w:lang w:eastAsia="en-US"/>
        </w:rPr>
        <w:t>17.1. Fica eleito o Foro da Justiça Federal em Rio de Janeiro</w:t>
      </w:r>
      <w:r>
        <w:rPr>
          <w:rFonts w:ascii="Times New Roman" w:hAnsi="Times New Roman"/>
          <w:color w:val="auto"/>
          <w:sz w:val="24"/>
          <w:szCs w:val="24"/>
        </w:rPr>
        <w:t xml:space="preserve">, Seção Judiciária de Rio de Janeiro para dirimir os litígios que decorrerem da execução deste Termo de Contrato que não puderem ser compostos pela conciliação, conforme </w:t>
      </w:r>
      <w:r>
        <w:fldChar w:fldCharType="begin"/>
      </w:r>
      <w:r>
        <w:rPr>
          <w:rStyle w:val="LinkdaInternet"/>
          <w:sz w:val="24"/>
          <w:u w:val="none"/>
          <w:szCs w:val="24"/>
          <w:rFonts w:ascii="Times New Roman" w:hAnsi="Times New Roman"/>
        </w:rPr>
        <w:instrText> HYPERLINK "http://www.planalto.gov.br/ccivil_03/_ato2019-2022/2021/lei/L14133.htm" \l "art92§1"</w:instrText>
      </w:r>
      <w:r>
        <w:rPr>
          <w:rStyle w:val="LinkdaInternet"/>
          <w:sz w:val="24"/>
          <w:u w:val="none"/>
          <w:szCs w:val="24"/>
          <w:rFonts w:ascii="Times New Roman" w:hAnsi="Times New Roman"/>
        </w:rPr>
        <w:fldChar w:fldCharType="separate"/>
      </w:r>
      <w:r>
        <w:rPr>
          <w:rStyle w:val="LinkdaInternet"/>
          <w:rFonts w:ascii="Times New Roman" w:hAnsi="Times New Roman"/>
          <w:color w:val="auto"/>
          <w:sz w:val="24"/>
          <w:szCs w:val="24"/>
          <w:u w:val="none"/>
        </w:rPr>
        <w:t>art. 92, §1º, da Lei nº 14.133/21</w:t>
      </w:r>
      <w:r>
        <w:rPr>
          <w:rStyle w:val="LinkdaInternet"/>
          <w:sz w:val="24"/>
          <w:u w:val="none"/>
          <w:szCs w:val="24"/>
          <w:rFonts w:ascii="Times New Roman" w:hAnsi="Times New Roman"/>
        </w:rPr>
        <w:fldChar w:fldCharType="end"/>
      </w:r>
      <w:r>
        <w:rPr>
          <w:rFonts w:ascii="Times New Roman" w:hAnsi="Times New Roman"/>
          <w:color w:val="auto"/>
          <w:sz w:val="24"/>
          <w:szCs w:val="24"/>
        </w:rPr>
        <w:t>.</w:t>
      </w:r>
    </w:p>
    <w:p>
      <w:pPr>
        <w:pStyle w:val="Normal"/>
        <w:spacing w:lineRule="auto" w:line="312" w:before="120" w:after="288"/>
        <w:ind w:firstLine="567"/>
        <w:jc w:val="center"/>
        <w:rPr>
          <w:rFonts w:ascii="Times New Roman" w:hAnsi="Times New Roman" w:cs="Arial"/>
          <w:color w:val="000000"/>
        </w:rPr>
      </w:pPr>
      <w:r>
        <w:rPr>
          <w:rFonts w:cs="Arial" w:ascii="Times New Roman" w:hAnsi="Times New Roman"/>
          <w:color w:val="000000"/>
        </w:rPr>
      </w:r>
    </w:p>
    <w:p>
      <w:pPr>
        <w:pStyle w:val="Normal"/>
        <w:spacing w:lineRule="auto" w:line="312" w:before="120" w:after="288"/>
        <w:ind w:firstLine="567"/>
        <w:jc w:val="center"/>
        <w:rPr/>
      </w:pPr>
      <w:r>
        <w:rPr>
          <w:rFonts w:cs="Arial" w:ascii="Times New Roman" w:hAnsi="Times New Roman"/>
          <w:color w:val="000000"/>
        </w:rPr>
        <w:t>Rio de Janeiro, RJ, ___ de ________ de 2024.</w:t>
      </w:r>
    </w:p>
    <w:p>
      <w:pPr>
        <w:pStyle w:val="Normal"/>
        <w:spacing w:lineRule="auto" w:line="312" w:before="0" w:after="3"/>
        <w:ind w:firstLine="567"/>
        <w:jc w:val="center"/>
        <w:rPr>
          <w:rFonts w:ascii="Times New Roman" w:hAnsi="Times New Roman" w:cs="Arial"/>
          <w:bCs/>
        </w:rPr>
      </w:pPr>
      <w:r>
        <w:rPr>
          <w:rFonts w:cs="Arial" w:ascii="Times New Roman" w:hAnsi="Times New Roman"/>
          <w:bCs/>
        </w:rPr>
      </w:r>
    </w:p>
    <w:p>
      <w:pPr>
        <w:pStyle w:val="Normal"/>
        <w:spacing w:lineRule="auto" w:line="312" w:before="0" w:after="3"/>
        <w:ind w:firstLine="567"/>
        <w:jc w:val="center"/>
        <w:rPr>
          <w:rFonts w:ascii="Times New Roman" w:hAnsi="Times New Roman" w:cs="Arial"/>
          <w:bCs/>
        </w:rPr>
      </w:pPr>
      <w:r>
        <w:rPr>
          <w:rFonts w:cs="Arial" w:ascii="Times New Roman" w:hAnsi="Times New Roman"/>
          <w:bCs/>
        </w:rPr>
      </w:r>
    </w:p>
    <w:p>
      <w:pPr>
        <w:pStyle w:val="Normal"/>
        <w:spacing w:lineRule="auto" w:line="312" w:before="0" w:after="3"/>
        <w:ind w:firstLine="567"/>
        <w:jc w:val="center"/>
        <w:rPr>
          <w:rFonts w:ascii="Times New Roman" w:hAnsi="Times New Roman" w:cs="Arial"/>
          <w:bCs/>
        </w:rPr>
      </w:pPr>
      <w:r>
        <w:rPr>
          <w:rFonts w:cs="Arial" w:ascii="Times New Roman" w:hAnsi="Times New Roman"/>
          <w:bCs/>
        </w:rPr>
      </w:r>
    </w:p>
    <w:p>
      <w:pPr>
        <w:pStyle w:val="Normal"/>
        <w:spacing w:lineRule="auto" w:line="312" w:before="0" w:after="3"/>
        <w:ind w:firstLine="567"/>
        <w:jc w:val="center"/>
        <w:rPr>
          <w:rFonts w:ascii="Times New Roman" w:hAnsi="Times New Roman" w:cs="Arial"/>
          <w:bCs/>
        </w:rPr>
      </w:pPr>
      <w:r>
        <w:rPr>
          <w:rFonts w:cs="Arial" w:ascii="Times New Roman" w:hAnsi="Times New Roman"/>
          <w:bCs/>
        </w:rPr>
      </w:r>
    </w:p>
    <w:p>
      <w:pPr>
        <w:pStyle w:val="Normal"/>
        <w:spacing w:lineRule="auto" w:line="312" w:before="0" w:after="3"/>
        <w:ind w:firstLine="567"/>
        <w:jc w:val="center"/>
        <w:rPr>
          <w:rFonts w:ascii="Times New Roman" w:hAnsi="Times New Roman" w:cs="Arial"/>
          <w:bCs/>
        </w:rPr>
      </w:pPr>
      <w:r>
        <w:rPr>
          <w:rFonts w:cs="Arial" w:ascii="Times New Roman" w:hAnsi="Times New Roman"/>
          <w:bCs/>
        </w:rPr>
      </w:r>
    </w:p>
    <w:p>
      <w:pPr>
        <w:pStyle w:val="Normal"/>
        <w:spacing w:lineRule="auto" w:line="312" w:before="0" w:after="3"/>
        <w:ind w:firstLine="567"/>
        <w:jc w:val="center"/>
        <w:rPr>
          <w:rFonts w:ascii="Times New Roman" w:hAnsi="Times New Roman" w:cs="Arial"/>
          <w:bCs/>
        </w:rPr>
      </w:pPr>
      <w:r>
        <w:rPr>
          <w:rFonts w:cs="Arial" w:ascii="Times New Roman" w:hAnsi="Times New Roman"/>
          <w:bCs/>
        </w:rPr>
      </w:r>
    </w:p>
    <w:p>
      <w:pPr>
        <w:pStyle w:val="Normal"/>
        <w:spacing w:lineRule="auto" w:line="312" w:before="0" w:after="3"/>
        <w:ind w:firstLine="567"/>
        <w:jc w:val="center"/>
        <w:rPr>
          <w:rFonts w:ascii="Times New Roman" w:hAnsi="Times New Roman" w:cs="Arial"/>
          <w:bCs/>
        </w:rPr>
      </w:pPr>
      <w:r>
        <w:rPr>
          <w:rFonts w:cs="Arial" w:ascii="Times New Roman" w:hAnsi="Times New Roman"/>
          <w:bCs/>
        </w:rPr>
      </w:r>
    </w:p>
    <w:p>
      <w:pPr>
        <w:pStyle w:val="Normal"/>
        <w:spacing w:lineRule="auto" w:line="312" w:before="0" w:after="3"/>
        <w:ind w:firstLine="567"/>
        <w:jc w:val="center"/>
        <w:rPr>
          <w:rFonts w:ascii="Times New Roman" w:hAnsi="Times New Roman" w:cs="Arial"/>
          <w:bCs/>
        </w:rPr>
      </w:pPr>
      <w:r>
        <w:rPr>
          <w:rFonts w:cs="Arial" w:ascii="Times New Roman" w:hAnsi="Times New Roman"/>
          <w:bCs/>
        </w:rPr>
      </w:r>
    </w:p>
    <w:p>
      <w:pPr>
        <w:pStyle w:val="Normal"/>
        <w:spacing w:lineRule="auto" w:line="312" w:before="0" w:after="3"/>
        <w:ind w:firstLine="567"/>
        <w:jc w:val="center"/>
        <w:rPr>
          <w:rFonts w:ascii="Times New Roman" w:hAnsi="Times New Roman"/>
        </w:rPr>
      </w:pPr>
      <w:r>
        <w:rPr>
          <w:rFonts w:cs="Arial" w:ascii="Times New Roman" w:hAnsi="Times New Roman"/>
          <w:bCs/>
        </w:rPr>
        <w:t>______________________________</w:t>
      </w:r>
    </w:p>
    <w:p>
      <w:pPr>
        <w:pStyle w:val="Normal"/>
        <w:spacing w:lineRule="auto" w:line="312" w:before="0" w:after="3"/>
        <w:ind w:firstLine="567"/>
        <w:jc w:val="center"/>
        <w:rPr>
          <w:rFonts w:ascii="Times New Roman" w:hAnsi="Times New Roman"/>
        </w:rPr>
      </w:pPr>
      <w:r>
        <w:rPr>
          <w:rFonts w:cs="Arial" w:ascii="Times New Roman" w:hAnsi="Times New Roman"/>
          <w:bCs/>
        </w:rPr>
        <w:t>Representante legal do CONTRATANTE</w:t>
      </w:r>
    </w:p>
    <w:p>
      <w:pPr>
        <w:pStyle w:val="Normal"/>
        <w:spacing w:lineRule="auto" w:line="312" w:before="0" w:after="3"/>
        <w:ind w:firstLine="567"/>
        <w:jc w:val="center"/>
        <w:rPr>
          <w:rFonts w:ascii="Times New Roman" w:hAnsi="Times New Roman" w:cs="Arial"/>
          <w:bCs/>
        </w:rPr>
      </w:pPr>
      <w:r>
        <w:rPr>
          <w:rFonts w:cs="Arial" w:ascii="Times New Roman" w:hAnsi="Times New Roman"/>
          <w:bCs/>
        </w:rPr>
      </w:r>
    </w:p>
    <w:p>
      <w:pPr>
        <w:pStyle w:val="Normal"/>
        <w:spacing w:lineRule="auto" w:line="312" w:before="0" w:after="60"/>
        <w:ind w:firstLine="567"/>
        <w:jc w:val="center"/>
        <w:rPr>
          <w:rFonts w:ascii="Times New Roman" w:hAnsi="Times New Roman" w:cs="Arial"/>
        </w:rPr>
      </w:pPr>
      <w:r>
        <w:rPr>
          <w:rFonts w:cs="Arial" w:ascii="Times New Roman" w:hAnsi="Times New Roman"/>
        </w:rPr>
      </w:r>
    </w:p>
    <w:p>
      <w:pPr>
        <w:pStyle w:val="Normal"/>
        <w:spacing w:lineRule="auto" w:line="312" w:before="0" w:after="60"/>
        <w:ind w:firstLine="567"/>
        <w:jc w:val="center"/>
        <w:rPr>
          <w:rFonts w:ascii="Times New Roman" w:hAnsi="Times New Roman" w:cs="Arial"/>
        </w:rPr>
      </w:pPr>
      <w:r>
        <w:rPr>
          <w:rFonts w:cs="Arial" w:ascii="Times New Roman" w:hAnsi="Times New Roman"/>
        </w:rPr>
      </w:r>
    </w:p>
    <w:p>
      <w:pPr>
        <w:pStyle w:val="Normal"/>
        <w:spacing w:lineRule="auto" w:line="312" w:before="0" w:after="60"/>
        <w:ind w:firstLine="567"/>
        <w:jc w:val="center"/>
        <w:rPr>
          <w:rFonts w:ascii="Times New Roman" w:hAnsi="Times New Roman" w:cs="Arial"/>
        </w:rPr>
      </w:pPr>
      <w:r>
        <w:rPr>
          <w:rFonts w:cs="Arial" w:ascii="Times New Roman" w:hAnsi="Times New Roman"/>
        </w:rPr>
      </w:r>
    </w:p>
    <w:p>
      <w:pPr>
        <w:pStyle w:val="Normal"/>
        <w:spacing w:lineRule="auto" w:line="312" w:before="0" w:after="60"/>
        <w:ind w:firstLine="567"/>
        <w:jc w:val="center"/>
        <w:rPr>
          <w:rFonts w:ascii="Arial" w:hAnsi="Arial" w:cs="Arial"/>
        </w:rPr>
      </w:pPr>
      <w:r>
        <w:rPr>
          <w:rFonts w:cs="Arial" w:ascii="Times New Roman" w:hAnsi="Times New Roman"/>
        </w:rPr>
        <w:t>_______________________________</w:t>
      </w:r>
    </w:p>
    <w:p>
      <w:pPr>
        <w:pStyle w:val="Normal"/>
        <w:spacing w:lineRule="auto" w:line="312" w:before="0" w:after="60"/>
        <w:ind w:firstLine="567"/>
        <w:jc w:val="center"/>
        <w:rPr>
          <w:rFonts w:ascii="Arial" w:hAnsi="Arial" w:cs="Arial"/>
        </w:rPr>
      </w:pPr>
      <w:r>
        <w:rPr>
          <w:rFonts w:cs="Arial" w:ascii="Times New Roman" w:hAnsi="Times New Roman"/>
          <w:bCs/>
        </w:rPr>
        <w:t>Representante</w:t>
      </w:r>
      <w:r>
        <w:rPr>
          <w:rFonts w:cs="Arial" w:ascii="Times New Roman" w:hAnsi="Times New Roman"/>
        </w:rPr>
        <w:t xml:space="preserve"> legal do CONTRATADO</w:t>
      </w:r>
    </w:p>
    <w:p>
      <w:pPr>
        <w:pStyle w:val="Normal"/>
        <w:spacing w:lineRule="auto" w:line="312" w:before="120" w:after="288"/>
        <w:ind w:firstLine="567"/>
        <w:jc w:val="both"/>
        <w:rPr>
          <w:rFonts w:cs="Arial"/>
          <w:i/>
          <w:i/>
          <w:iCs/>
          <w:color w:val="FF0000"/>
        </w:rPr>
      </w:pPr>
      <w:r>
        <w:rPr>
          <w:rFonts w:cs="Arial"/>
          <w:i/>
          <w:iCs/>
          <w:color w:val="FF0000"/>
        </w:rPr>
      </w:r>
    </w:p>
    <w:p>
      <w:pPr>
        <w:pStyle w:val="Normal"/>
        <w:spacing w:lineRule="auto" w:line="312" w:before="120" w:after="288"/>
        <w:ind w:firstLine="567"/>
        <w:jc w:val="both"/>
        <w:rPr>
          <w:rFonts w:ascii="Arial" w:hAnsi="Arial" w:cs="Arial"/>
          <w:i/>
          <w:i/>
          <w:iCs/>
          <w:color w:val="FF0000"/>
        </w:rPr>
      </w:pPr>
      <w:r>
        <w:rPr>
          <w:rFonts w:cs="Arial" w:ascii="Times New Roman" w:hAnsi="Times New Roman"/>
          <w:color w:val="000000"/>
        </w:rPr>
        <w:t>TESTEMUNHAS:</w:t>
      </w:r>
    </w:p>
    <w:p>
      <w:pPr>
        <w:pStyle w:val="Normal"/>
        <w:spacing w:lineRule="auto" w:line="312" w:before="120" w:after="288"/>
        <w:ind w:firstLine="567"/>
        <w:rPr>
          <w:rFonts w:ascii="Arial" w:hAnsi="Arial" w:cs="Arial"/>
          <w:i/>
          <w:i/>
          <w:iCs/>
          <w:color w:val="FF0000"/>
        </w:rPr>
      </w:pPr>
      <w:r>
        <w:rPr>
          <w:rFonts w:cs="Arial" w:ascii="Times New Roman" w:hAnsi="Times New Roman"/>
          <w:color w:val="000000"/>
        </w:rPr>
        <w:t>1-</w:t>
      </w:r>
    </w:p>
    <w:p>
      <w:pPr>
        <w:pStyle w:val="Normal"/>
        <w:spacing w:lineRule="auto" w:line="312" w:before="120" w:after="288"/>
        <w:ind w:firstLine="567"/>
        <w:rPr/>
      </w:pPr>
      <w:r>
        <w:rPr>
          <w:rFonts w:cs="Arial" w:ascii="Times New Roman" w:hAnsi="Times New Roman"/>
          <w:color w:val="000000"/>
        </w:rPr>
        <w:t xml:space="preserve">2- </w:t>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649974729"/>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11</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11</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cs="Arial" w:ascii="Times New Roman" w:hAnsi="Times New Roman"/>
        <w:sz w:val="22"/>
        <w:szCs w:val="22"/>
      </w:rPr>
      <w:t xml:space="preserve">TERMO DE CONTRATO ADMINISTRATIVO Nº </w:t>
    </w:r>
    <w:r>
      <w:rPr>
        <w:rFonts w:cs="Arial" w:ascii="Arial" w:hAnsi="Arial"/>
        <w:sz w:val="20"/>
        <w:szCs w:val="20"/>
      </w:rPr>
      <w:t>900</w:t>
    </w:r>
    <w:r>
      <w:rPr>
        <w:rFonts w:cs="Arial" w:ascii="Arial" w:hAnsi="Arial"/>
        <w:sz w:val="20"/>
        <w:szCs w:val="20"/>
      </w:rPr>
      <w:t>59</w:t>
    </w:r>
    <w:r>
      <w:rPr>
        <w:rFonts w:cs="Arial" w:ascii="Arial" w:hAnsi="Arial"/>
        <w:sz w:val="20"/>
        <w:szCs w:val="20"/>
      </w:rPr>
      <w:t>/2024</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1">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a3333"/>
    <w:pPr>
      <w:widowControl/>
      <w:bidi w:val="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qFormat/>
    <w:rsid w:val="00216690"/>
    <w:rPr>
      <w:rFonts w:ascii="Arial" w:hAnsi="Arial" w:cs="Arial"/>
      <w:i/>
      <w:iCs/>
      <w:color w:val="FF0000"/>
      <w:lang w:eastAsia="pt-BR"/>
    </w:rPr>
  </w:style>
  <w:style w:type="character" w:styleId="Nvel4RChar" w:customStyle="1">
    <w:name w:val="Nível 4-R Char"/>
    <w:basedOn w:val="Nivel4Char"/>
    <w:qFormat/>
    <w:rsid w:val="00216690"/>
    <w:rPr>
      <w:rFonts w:ascii="Arial" w:hAnsi="Arial" w:cs="Arial"/>
      <w:i/>
      <w:iCs/>
      <w:color w:val="FF0000"/>
      <w:lang w:eastAsia="pt-BR"/>
    </w:rPr>
  </w:style>
  <w:style w:type="character" w:styleId="Nvel1SemNumChar" w:customStyle="1">
    <w:name w:val="Nível 1-Sem Num Char"/>
    <w:basedOn w:val="Nivel01Char"/>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customStyle="1">
    <w:name w:val="Âncora da nota de rodapé"/>
    <w:rPr>
      <w:vertAlign w:val="superscript"/>
    </w:rPr>
  </w:style>
  <w:style w:type="character" w:styleId="FootnoteCharacters" w:customStyle="1">
    <w:name w:val="Footnote Characters"/>
    <w:basedOn w:val="DefaultParagraphFont"/>
    <w:semiHidden/>
    <w:unhideWhenUsed/>
    <w:qFormat/>
    <w:rsid w:val="002e5082"/>
    <w:rPr>
      <w:vertAlign w:val="superscript"/>
    </w:rPr>
  </w:style>
  <w:style w:type="character" w:styleId="ListLabel13" w:customStyle="1">
    <w:name w:val="ListLabel 13"/>
    <w:qFormat/>
    <w:rPr>
      <w:b/>
    </w:rPr>
  </w:style>
  <w:style w:type="character" w:styleId="ListLabel14" w:customStyle="1">
    <w:name w:val="ListLabel 14"/>
    <w:qFormat/>
    <w:rPr>
      <w:b/>
      <w:i w:val="false"/>
      <w:strike w:val="false"/>
      <w:dstrike w:val="false"/>
      <w:color w:val="auto"/>
      <w:sz w:val="20"/>
      <w:szCs w:val="20"/>
      <w:u w:val="none"/>
    </w:rPr>
  </w:style>
  <w:style w:type="character" w:styleId="ListLabel15" w:customStyle="1">
    <w:name w:val="ListLabel 15"/>
    <w:qFormat/>
    <w:rPr>
      <w:rFonts w:cs="Arial"/>
      <w:b w:val="false"/>
      <w:i w:val="false"/>
      <w:strike w:val="false"/>
      <w:dstrike w:val="false"/>
      <w:color w:val="auto"/>
      <w:sz w:val="20"/>
      <w:szCs w:val="20"/>
    </w:rPr>
  </w:style>
  <w:style w:type="character" w:styleId="ListLabel16" w:customStyle="1">
    <w:name w:val="ListLabel 16"/>
    <w:qFormat/>
    <w:rPr>
      <w:b w:val="false"/>
    </w:rPr>
  </w:style>
  <w:style w:type="character" w:styleId="ListLabel17" w:customStyle="1">
    <w:name w:val="ListLabel 17"/>
    <w:qFormat/>
    <w:rPr>
      <w:b/>
    </w:rPr>
  </w:style>
  <w:style w:type="character" w:styleId="ListLabel18" w:customStyle="1">
    <w:name w:val="ListLabel 18"/>
    <w:qFormat/>
    <w:rPr>
      <w:b w:val="false"/>
      <w:i w:val="false"/>
      <w:strike w:val="false"/>
      <w:dstrike w:val="false"/>
      <w:color w:val="auto"/>
      <w:sz w:val="20"/>
      <w:szCs w:val="20"/>
      <w:u w:val="none"/>
    </w:rPr>
  </w:style>
  <w:style w:type="character" w:styleId="ListLabel19" w:customStyle="1">
    <w:name w:val="ListLabel 19"/>
    <w:qFormat/>
    <w:rPr>
      <w:rFonts w:cs="Arial"/>
      <w:b w:val="false"/>
      <w:i w:val="false"/>
      <w:strike w:val="false"/>
      <w:dstrike w:val="false"/>
      <w:color w:val="auto"/>
      <w:sz w:val="20"/>
      <w:szCs w:val="20"/>
    </w:rPr>
  </w:style>
  <w:style w:type="character" w:styleId="ListLabel20" w:customStyle="1">
    <w:name w:val="ListLabel 20"/>
    <w:qFormat/>
    <w:rPr>
      <w:b/>
    </w:rPr>
  </w:style>
  <w:style w:type="character" w:styleId="ListLabel21" w:customStyle="1">
    <w:name w:val="ListLabel 21"/>
    <w:qFormat/>
    <w:rPr>
      <w:b w:val="false"/>
      <w:i w:val="false"/>
      <w:strike w:val="false"/>
      <w:dstrike w:val="false"/>
      <w:color w:val="auto"/>
      <w:sz w:val="20"/>
      <w:szCs w:val="20"/>
      <w:u w:val="none"/>
    </w:rPr>
  </w:style>
  <w:style w:type="character" w:styleId="ListLabel22" w:customStyle="1">
    <w:name w:val="ListLabel 22"/>
    <w:qFormat/>
    <w:rPr>
      <w:rFonts w:cs="Arial"/>
      <w:b w:val="false"/>
      <w:i w:val="false"/>
      <w:strike w:val="false"/>
      <w:dstrike w:val="false"/>
      <w:color w:val="auto"/>
      <w:sz w:val="20"/>
      <w:szCs w:val="20"/>
    </w:rPr>
  </w:style>
  <w:style w:type="character" w:styleId="ListLabel23" w:customStyle="1">
    <w:name w:val="ListLabel 23"/>
    <w:qFormat/>
    <w:rPr>
      <w:b/>
    </w:rPr>
  </w:style>
  <w:style w:type="character" w:styleId="ListLabel24" w:customStyle="1">
    <w:name w:val="ListLabel 24"/>
    <w:qFormat/>
    <w:rPr>
      <w:b w:val="false"/>
      <w:i w:val="false"/>
      <w:strike w:val="false"/>
      <w:dstrike w:val="false"/>
      <w:color w:val="auto"/>
      <w:sz w:val="20"/>
      <w:szCs w:val="20"/>
      <w:u w:val="none"/>
    </w:rPr>
  </w:style>
  <w:style w:type="character" w:styleId="ListLabel25" w:customStyle="1">
    <w:name w:val="ListLabel 25"/>
    <w:qFormat/>
    <w:rPr>
      <w:rFonts w:cs="Arial"/>
      <w:b w:val="false"/>
      <w:i w:val="false"/>
      <w:strike w:val="false"/>
      <w:dstrike w:val="false"/>
      <w:color w:val="auto"/>
      <w:sz w:val="20"/>
      <w:szCs w:val="20"/>
    </w:rPr>
  </w:style>
  <w:style w:type="character" w:styleId="ListLabel26" w:customStyle="1">
    <w:name w:val="ListLabel 26"/>
    <w:qFormat/>
    <w:rPr>
      <w:b/>
      <w:color w:val="auto"/>
    </w:rPr>
  </w:style>
  <w:style w:type="character" w:styleId="ListLabel27" w:customStyle="1">
    <w:name w:val="ListLabel 27"/>
    <w:qFormat/>
    <w:rPr>
      <w:b w:val="false"/>
      <w:i w:val="false"/>
      <w:strike w:val="false"/>
      <w:dstrike w:val="false"/>
      <w:color w:val="auto"/>
      <w:u w:val="none"/>
      <w:effect w:val="none"/>
    </w:rPr>
  </w:style>
  <w:style w:type="character" w:styleId="ListLabel28" w:customStyle="1">
    <w:name w:val="ListLabel 28"/>
    <w:qFormat/>
    <w:rPr>
      <w:b w:val="false"/>
      <w:i w:val="false"/>
      <w:color w:val="FF0000"/>
    </w:rPr>
  </w:style>
  <w:style w:type="character" w:styleId="ListLabel29" w:customStyle="1">
    <w:name w:val="ListLabel 29"/>
    <w:qFormat/>
    <w:rPr>
      <w:b/>
      <w:color w:val="auto"/>
    </w:rPr>
  </w:style>
  <w:style w:type="character" w:styleId="ListLabel30" w:customStyle="1">
    <w:name w:val="ListLabel 30"/>
    <w:qFormat/>
    <w:rPr>
      <w:b w:val="false"/>
      <w:i w:val="false"/>
      <w:strike w:val="false"/>
      <w:dstrike w:val="false"/>
      <w:color w:val="auto"/>
      <w:u w:val="none"/>
      <w:effect w:val="none"/>
    </w:rPr>
  </w:style>
  <w:style w:type="character" w:styleId="ListLabel31" w:customStyle="1">
    <w:name w:val="ListLabel 31"/>
    <w:qFormat/>
    <w:rPr>
      <w:b w:val="false"/>
      <w:i w:val="false"/>
      <w:color w:val="FF0000"/>
    </w:rPr>
  </w:style>
  <w:style w:type="character" w:styleId="ListLabel32" w:customStyle="1">
    <w:name w:val="ListLabel 32"/>
    <w:qFormat/>
    <w:rPr>
      <w:b/>
      <w:color w:val="auto"/>
    </w:rPr>
  </w:style>
  <w:style w:type="character" w:styleId="ListLabel33" w:customStyle="1">
    <w:name w:val="ListLabel 33"/>
    <w:qFormat/>
    <w:rPr>
      <w:b w:val="false"/>
      <w:i w:val="false"/>
      <w:strike w:val="false"/>
      <w:dstrike w:val="false"/>
      <w:color w:val="auto"/>
      <w:u w:val="none"/>
      <w:effect w:val="none"/>
    </w:rPr>
  </w:style>
  <w:style w:type="character" w:styleId="ListLabel34" w:customStyle="1">
    <w:name w:val="ListLabel 34"/>
    <w:qFormat/>
    <w:rPr>
      <w:b w:val="false"/>
      <w:i w:val="false"/>
      <w:color w:val="FF0000"/>
    </w:rPr>
  </w:style>
  <w:style w:type="character" w:styleId="ListLabel35" w:customStyle="1">
    <w:name w:val="ListLabel 35"/>
    <w:qFormat/>
    <w:rPr>
      <w:b/>
    </w:rPr>
  </w:style>
  <w:style w:type="character" w:styleId="ListLabel36" w:customStyle="1">
    <w:name w:val="ListLabel 36"/>
    <w:qFormat/>
    <w:rPr>
      <w:b w:val="false"/>
      <w:i w:val="false"/>
      <w:strike w:val="false"/>
      <w:dstrike w:val="false"/>
      <w:color w:val="auto"/>
      <w:sz w:val="20"/>
      <w:szCs w:val="20"/>
      <w:u w:val="none"/>
    </w:rPr>
  </w:style>
  <w:style w:type="character" w:styleId="ListLabel37" w:customStyle="1">
    <w:name w:val="ListLabel 37"/>
    <w:qFormat/>
    <w:rPr>
      <w:rFonts w:cs="Arial"/>
      <w:b w:val="false"/>
      <w:i w:val="false"/>
      <w:strike w:val="false"/>
      <w:dstrike w:val="false"/>
      <w:color w:val="auto"/>
      <w:sz w:val="20"/>
      <w:szCs w:val="20"/>
    </w:rPr>
  </w:style>
  <w:style w:type="character" w:styleId="ListLabel38" w:customStyle="1">
    <w:name w:val="ListLabel 38"/>
    <w:qFormat/>
    <w:rPr>
      <w:b/>
      <w:i w:val="false"/>
    </w:rPr>
  </w:style>
  <w:style w:type="character" w:styleId="ListLabel39" w:customStyle="1">
    <w:name w:val="ListLabel 39"/>
    <w:qFormat/>
    <w:rPr>
      <w:b w:val="false"/>
      <w:i w:val="false"/>
    </w:rPr>
  </w:style>
  <w:style w:type="character" w:styleId="ListLabel40" w:customStyle="1">
    <w:name w:val="ListLabel 40"/>
    <w:qFormat/>
    <w:rPr>
      <w:b/>
      <w:i w:val="false"/>
    </w:rPr>
  </w:style>
  <w:style w:type="character" w:styleId="ListLabel41" w:customStyle="1">
    <w:name w:val="ListLabel 41"/>
    <w:qFormat/>
    <w:rPr>
      <w:b/>
      <w:i w:val="false"/>
    </w:rPr>
  </w:style>
  <w:style w:type="character" w:styleId="ListLabel42" w:customStyle="1">
    <w:name w:val="ListLabel 42"/>
    <w:qFormat/>
    <w:rPr>
      <w:b w:val="false"/>
      <w:i w:val="false"/>
    </w:rPr>
  </w:style>
  <w:style w:type="character" w:styleId="ListLabel43" w:customStyle="1">
    <w:name w:val="ListLabel 43"/>
    <w:qFormat/>
    <w:rPr>
      <w:rFonts w:ascii="Arial" w:hAnsi="Arial"/>
      <w:b w:val="false"/>
      <w:sz w:val="20"/>
    </w:rPr>
  </w:style>
  <w:style w:type="character" w:styleId="ListLabel44" w:customStyle="1">
    <w:name w:val="ListLabel 44"/>
    <w:qFormat/>
    <w:rPr>
      <w:b w:val="false"/>
      <w:i w:val="false"/>
    </w:rPr>
  </w:style>
  <w:style w:type="character" w:styleId="ListLabel45" w:customStyle="1">
    <w:name w:val="ListLabel 45"/>
    <w:qFormat/>
    <w:rPr>
      <w:b w:val="false"/>
    </w:rPr>
  </w:style>
  <w:style w:type="character" w:styleId="ListLabel46" w:customStyle="1">
    <w:name w:val="ListLabel 46"/>
    <w:qFormat/>
    <w:rPr>
      <w:i w:val="false"/>
    </w:rPr>
  </w:style>
  <w:style w:type="character" w:styleId="ListLabel47" w:customStyle="1">
    <w:name w:val="ListLabel 47"/>
    <w:qFormat/>
    <w:rPr>
      <w:i w:val="false"/>
    </w:rPr>
  </w:style>
  <w:style w:type="character" w:styleId="ListLabel48" w:customStyle="1">
    <w:name w:val="ListLabel 48"/>
    <w:qFormat/>
    <w:rPr>
      <w:b/>
    </w:rPr>
  </w:style>
  <w:style w:type="character" w:styleId="ListLabel49" w:customStyle="1">
    <w:name w:val="ListLabel 49"/>
    <w:qFormat/>
    <w:rPr>
      <w:b w:val="false"/>
      <w:i w:val="false"/>
      <w:strike w:val="false"/>
      <w:dstrike w:val="false"/>
      <w:color w:val="auto"/>
      <w:sz w:val="20"/>
      <w:szCs w:val="20"/>
      <w:u w:val="none"/>
    </w:rPr>
  </w:style>
  <w:style w:type="character" w:styleId="ListLabel50" w:customStyle="1">
    <w:name w:val="ListLabel 50"/>
    <w:qFormat/>
    <w:rPr>
      <w:rFonts w:cs="Arial"/>
      <w:b w:val="false"/>
      <w:i w:val="false"/>
      <w:strike w:val="false"/>
      <w:dstrike w:val="false"/>
      <w:color w:val="auto"/>
      <w:sz w:val="20"/>
      <w:szCs w:val="20"/>
    </w:rPr>
  </w:style>
  <w:style w:type="character" w:styleId="ListLabel51" w:customStyle="1">
    <w:name w:val="ListLabel 51"/>
    <w:qFormat/>
    <w:rPr>
      <w:b/>
      <w:i w:val="false"/>
    </w:rPr>
  </w:style>
  <w:style w:type="character" w:styleId="ListLabel52" w:customStyle="1">
    <w:name w:val="ListLabel 52"/>
    <w:qFormat/>
    <w:rPr>
      <w:b w:val="false"/>
      <w:i w:val="false"/>
      <w:color w:val="auto"/>
      <w:sz w:val="20"/>
      <w:szCs w:val="20"/>
    </w:rPr>
  </w:style>
  <w:style w:type="character" w:styleId="ListLabel53" w:customStyle="1">
    <w:name w:val="ListLabel 53"/>
    <w:qFormat/>
    <w:rPr>
      <w:b w:val="false"/>
      <w:i w:val="false"/>
      <w:color w:val="auto"/>
      <w:sz w:val="20"/>
      <w:szCs w:val="20"/>
    </w:rPr>
  </w:style>
  <w:style w:type="character" w:styleId="ListLabel54" w:customStyle="1">
    <w:name w:val="ListLabel 54"/>
    <w:qFormat/>
    <w:rPr>
      <w:b w:val="false"/>
      <w:i w:val="false"/>
    </w:rPr>
  </w:style>
  <w:style w:type="character" w:styleId="ListLabel55" w:customStyle="1">
    <w:name w:val="ListLabel 55"/>
    <w:qFormat/>
    <w:rPr>
      <w:b/>
      <w:i w:val="false"/>
    </w:rPr>
  </w:style>
  <w:style w:type="character" w:styleId="ListLabel56" w:customStyle="1">
    <w:name w:val="ListLabel 56"/>
    <w:qFormat/>
    <w:rPr>
      <w:b/>
    </w:rPr>
  </w:style>
  <w:style w:type="character" w:styleId="ListLabel57" w:customStyle="1">
    <w:name w:val="ListLabel 57"/>
    <w:qFormat/>
    <w:rPr>
      <w:b w:val="false"/>
      <w:i w:val="false"/>
      <w:strike w:val="false"/>
      <w:dstrike w:val="false"/>
      <w:color w:val="auto"/>
      <w:sz w:val="20"/>
      <w:szCs w:val="20"/>
      <w:u w:val="none"/>
    </w:rPr>
  </w:style>
  <w:style w:type="character" w:styleId="ListLabel58" w:customStyle="1">
    <w:name w:val="ListLabel 58"/>
    <w:qFormat/>
    <w:rPr>
      <w:rFonts w:cs="Arial"/>
      <w:b w:val="false"/>
      <w:i w:val="false"/>
      <w:strike w:val="false"/>
      <w:dstrike w:val="false"/>
      <w:color w:val="auto"/>
      <w:sz w:val="20"/>
      <w:szCs w:val="20"/>
    </w:rPr>
  </w:style>
  <w:style w:type="character" w:styleId="ListLabel59" w:customStyle="1">
    <w:name w:val="ListLabel 59"/>
    <w:qFormat/>
    <w:rPr>
      <w:b/>
    </w:rPr>
  </w:style>
  <w:style w:type="character" w:styleId="ListLabel60" w:customStyle="1">
    <w:name w:val="ListLabel 60"/>
    <w:qFormat/>
    <w:rPr>
      <w:b w:val="false"/>
      <w:i w:val="false"/>
      <w:strike w:val="false"/>
      <w:dstrike w:val="false"/>
      <w:color w:val="auto"/>
      <w:sz w:val="20"/>
      <w:szCs w:val="20"/>
      <w:u w:val="none"/>
    </w:rPr>
  </w:style>
  <w:style w:type="character" w:styleId="ListLabel61" w:customStyle="1">
    <w:name w:val="ListLabel 61"/>
    <w:qFormat/>
    <w:rPr>
      <w:rFonts w:cs="Arial"/>
      <w:b w:val="false"/>
      <w:i w:val="false"/>
      <w:strike w:val="false"/>
      <w:dstrike w:val="false"/>
      <w:color w:val="auto"/>
      <w:sz w:val="20"/>
      <w:szCs w:val="20"/>
    </w:rPr>
  </w:style>
  <w:style w:type="character" w:styleId="ListLabel62" w:customStyle="1">
    <w:name w:val="ListLabel 62"/>
    <w:qFormat/>
    <w:rPr>
      <w:b/>
    </w:rPr>
  </w:style>
  <w:style w:type="character" w:styleId="ListLabel63" w:customStyle="1">
    <w:name w:val="ListLabel 63"/>
    <w:qFormat/>
    <w:rPr>
      <w:b w:val="false"/>
      <w:i w:val="false"/>
      <w:strike w:val="false"/>
      <w:dstrike w:val="false"/>
      <w:color w:val="auto"/>
      <w:sz w:val="20"/>
      <w:szCs w:val="20"/>
      <w:u w:val="none"/>
    </w:rPr>
  </w:style>
  <w:style w:type="character" w:styleId="ListLabel64" w:customStyle="1">
    <w:name w:val="ListLabel 64"/>
    <w:qFormat/>
    <w:rPr>
      <w:rFonts w:cs="Arial"/>
      <w:b w:val="false"/>
      <w:i w:val="false"/>
      <w:strike w:val="false"/>
      <w:dstrike w:val="false"/>
      <w:color w:val="auto"/>
      <w:sz w:val="20"/>
      <w:szCs w:val="20"/>
    </w:rPr>
  </w:style>
  <w:style w:type="character" w:styleId="ListLabel65" w:customStyle="1">
    <w:name w:val="ListLabel 65"/>
    <w:qFormat/>
    <w:rPr>
      <w:b/>
    </w:rPr>
  </w:style>
  <w:style w:type="character" w:styleId="ListLabel66" w:customStyle="1">
    <w:name w:val="ListLabel 66"/>
    <w:qFormat/>
    <w:rPr>
      <w:b w:val="false"/>
      <w:i w:val="false"/>
      <w:strike w:val="false"/>
      <w:dstrike w:val="false"/>
      <w:color w:val="auto"/>
      <w:sz w:val="20"/>
      <w:szCs w:val="20"/>
      <w:u w:val="none"/>
    </w:rPr>
  </w:style>
  <w:style w:type="character" w:styleId="ListLabel67" w:customStyle="1">
    <w:name w:val="ListLabel 67"/>
    <w:qFormat/>
    <w:rPr>
      <w:rFonts w:cs="Arial"/>
      <w:b w:val="false"/>
      <w:i w:val="false"/>
      <w:strike w:val="false"/>
      <w:dstrike w:val="false"/>
      <w:color w:val="auto"/>
      <w:sz w:val="20"/>
      <w:szCs w:val="20"/>
    </w:rPr>
  </w:style>
  <w:style w:type="character" w:styleId="ListLabel68" w:customStyle="1">
    <w:name w:val="ListLabel 68"/>
    <w:qFormat/>
    <w:rPr>
      <w:b/>
    </w:rPr>
  </w:style>
  <w:style w:type="character" w:styleId="ListLabel69" w:customStyle="1">
    <w:name w:val="ListLabel 69"/>
    <w:qFormat/>
    <w:rPr>
      <w:b w:val="false"/>
      <w:i w:val="false"/>
      <w:strike w:val="false"/>
      <w:dstrike w:val="false"/>
      <w:color w:val="auto"/>
      <w:sz w:val="20"/>
      <w:szCs w:val="20"/>
      <w:u w:val="none"/>
    </w:rPr>
  </w:style>
  <w:style w:type="character" w:styleId="ListLabel70" w:customStyle="1">
    <w:name w:val="ListLabel 70"/>
    <w:qFormat/>
    <w:rPr>
      <w:rFonts w:cs="Arial"/>
      <w:b w:val="false"/>
      <w:i w:val="false"/>
      <w:strike w:val="false"/>
      <w:dstrike w:val="false"/>
      <w:color w:val="auto"/>
      <w:sz w:val="20"/>
      <w:szCs w:val="20"/>
    </w:rPr>
  </w:style>
  <w:style w:type="character" w:styleId="ListLabel71" w:customStyle="1">
    <w:name w:val="ListLabel 71"/>
    <w:qFormat/>
    <w:rPr>
      <w:b/>
    </w:rPr>
  </w:style>
  <w:style w:type="character" w:styleId="ListLabel72" w:customStyle="1">
    <w:name w:val="ListLabel 72"/>
    <w:qFormat/>
    <w:rPr>
      <w:b w:val="false"/>
      <w:i w:val="false"/>
      <w:strike w:val="false"/>
      <w:dstrike w:val="false"/>
      <w:color w:val="auto"/>
      <w:sz w:val="20"/>
      <w:szCs w:val="20"/>
      <w:u w:val="none"/>
    </w:rPr>
  </w:style>
  <w:style w:type="character" w:styleId="ListLabel73" w:customStyle="1">
    <w:name w:val="ListLabel 73"/>
    <w:qFormat/>
    <w:rPr>
      <w:rFonts w:cs="Arial"/>
      <w:b w:val="false"/>
      <w:i w:val="false"/>
      <w:strike w:val="false"/>
      <w:dstrike w:val="false"/>
      <w:color w:val="auto"/>
      <w:sz w:val="20"/>
      <w:szCs w:val="20"/>
    </w:rPr>
  </w:style>
  <w:style w:type="character" w:styleId="ListLabel74" w:customStyle="1">
    <w:name w:val="ListLabel 74"/>
    <w:qFormat/>
    <w:rPr>
      <w:i/>
      <w:color w:val="FF0000"/>
    </w:rPr>
  </w:style>
  <w:style w:type="character" w:styleId="ListLabel75" w:customStyle="1">
    <w:name w:val="ListLabel 75"/>
    <w:qFormat/>
    <w:rPr>
      <w:i w:val="false"/>
      <w:color w:val="000000"/>
    </w:rPr>
  </w:style>
  <w:style w:type="character" w:styleId="ListLabel76" w:customStyle="1">
    <w:name w:val="ListLabel 76"/>
    <w:qFormat/>
    <w:rPr>
      <w:i/>
      <w:color w:val="auto"/>
    </w:rPr>
  </w:style>
  <w:style w:type="character" w:styleId="ListLabel77" w:customStyle="1">
    <w:name w:val="ListLabel 77"/>
    <w:qFormat/>
    <w:rPr>
      <w:i/>
      <w:color w:val="auto"/>
    </w:rPr>
  </w:style>
  <w:style w:type="character" w:styleId="ListLabel78" w:customStyle="1">
    <w:name w:val="ListLabel 78"/>
    <w:qFormat/>
    <w:rPr>
      <w:i/>
      <w:color w:val="FF0000"/>
    </w:rPr>
  </w:style>
  <w:style w:type="character" w:styleId="ListLabel79" w:customStyle="1">
    <w:name w:val="ListLabel 79"/>
    <w:qFormat/>
    <w:rPr>
      <w:i/>
      <w:color w:val="FF0000"/>
    </w:rPr>
  </w:style>
  <w:style w:type="character" w:styleId="ListLabel80" w:customStyle="1">
    <w:name w:val="ListLabel 80"/>
    <w:qFormat/>
    <w:rPr>
      <w:i/>
      <w:color w:val="FF0000"/>
    </w:rPr>
  </w:style>
  <w:style w:type="character" w:styleId="ListLabel81" w:customStyle="1">
    <w:name w:val="ListLabel 81"/>
    <w:qFormat/>
    <w:rPr>
      <w:i/>
      <w:color w:val="FF0000"/>
    </w:rPr>
  </w:style>
  <w:style w:type="character" w:styleId="ListLabel82" w:customStyle="1">
    <w:name w:val="ListLabel 82"/>
    <w:qFormat/>
    <w:rPr>
      <w:i/>
      <w:color w:val="FF0000"/>
    </w:rPr>
  </w:style>
  <w:style w:type="character" w:styleId="ListLabel83" w:customStyle="1">
    <w:name w:val="ListLabel 83"/>
    <w:qFormat/>
    <w:rPr>
      <w:rFonts w:ascii="Arial" w:hAnsi="Arial" w:eastAsia="Arial" w:cs="Arial"/>
      <w:sz w:val="20"/>
      <w:szCs w:val="20"/>
    </w:rPr>
  </w:style>
  <w:style w:type="character" w:styleId="ListLabel84" w:customStyle="1">
    <w:name w:val="ListLabel 84"/>
    <w:qFormat/>
    <w:rPr/>
  </w:style>
  <w:style w:type="character" w:styleId="ListLabel85" w:customStyle="1">
    <w:name w:val="ListLabel 85"/>
    <w:qFormat/>
    <w:rPr>
      <w:i/>
      <w:iCs/>
    </w:rPr>
  </w:style>
  <w:style w:type="character" w:styleId="ListLabel86" w:customStyle="1">
    <w:name w:val="ListLabel 86"/>
    <w:qFormat/>
    <w:rPr>
      <w:b/>
    </w:rPr>
  </w:style>
  <w:style w:type="character" w:styleId="ListLabel87" w:customStyle="1">
    <w:name w:val="ListLabel 87"/>
    <w:qFormat/>
    <w:rPr>
      <w:b/>
      <w:i w:val="false"/>
      <w:strike w:val="false"/>
      <w:dstrike w:val="false"/>
      <w:color w:val="auto"/>
      <w:sz w:val="20"/>
      <w:szCs w:val="20"/>
      <w:u w:val="none"/>
    </w:rPr>
  </w:style>
  <w:style w:type="character" w:styleId="ListLabel88" w:customStyle="1">
    <w:name w:val="ListLabel 88"/>
    <w:qFormat/>
    <w:rPr>
      <w:rFonts w:cs="Arial"/>
      <w:b w:val="false"/>
      <w:i w:val="false"/>
      <w:strike w:val="false"/>
      <w:dstrike w:val="false"/>
      <w:color w:val="auto"/>
      <w:sz w:val="20"/>
      <w:szCs w:val="20"/>
    </w:rPr>
  </w:style>
  <w:style w:type="character" w:styleId="ListLabel89" w:customStyle="1">
    <w:name w:val="ListLabel 89"/>
    <w:qFormat/>
    <w:rPr>
      <w:b w:val="false"/>
      <w:i w:val="false"/>
    </w:rPr>
  </w:style>
  <w:style w:type="character" w:styleId="ListLabel90" w:customStyle="1">
    <w:name w:val="ListLabel 90"/>
    <w:qFormat/>
    <w:rPr>
      <w:rFonts w:ascii="Arial" w:hAnsi="Arial"/>
      <w:b w:val="false"/>
      <w:sz w:val="20"/>
    </w:rPr>
  </w:style>
  <w:style w:type="character" w:styleId="ListLabel91" w:customStyle="1">
    <w:name w:val="ListLabel 91"/>
    <w:qFormat/>
    <w:rPr>
      <w:b/>
    </w:rPr>
  </w:style>
  <w:style w:type="character" w:styleId="ListLabel92" w:customStyle="1">
    <w:name w:val="ListLabel 92"/>
    <w:qFormat/>
    <w:rPr>
      <w:b w:val="false"/>
      <w:i w:val="false"/>
      <w:strike w:val="false"/>
      <w:dstrike w:val="false"/>
      <w:color w:val="auto"/>
      <w:sz w:val="20"/>
      <w:szCs w:val="20"/>
      <w:u w:val="none"/>
    </w:rPr>
  </w:style>
  <w:style w:type="character" w:styleId="ListLabel93" w:customStyle="1">
    <w:name w:val="ListLabel 93"/>
    <w:qFormat/>
    <w:rPr>
      <w:rFonts w:cs="Arial"/>
      <w:b w:val="false"/>
      <w:i w:val="false"/>
      <w:strike w:val="false"/>
      <w:dstrike w:val="false"/>
      <w:color w:val="auto"/>
      <w:sz w:val="20"/>
      <w:szCs w:val="20"/>
    </w:rPr>
  </w:style>
  <w:style w:type="character" w:styleId="ListLabel94" w:customStyle="1">
    <w:name w:val="ListLabel 94"/>
    <w:qFormat/>
    <w:rPr>
      <w:rFonts w:ascii="Arial" w:hAnsi="Arial" w:eastAsia="Arial" w:cs="Arial"/>
      <w:sz w:val="20"/>
      <w:szCs w:val="20"/>
    </w:rPr>
  </w:style>
  <w:style w:type="character" w:styleId="ListLabel95" w:customStyle="1">
    <w:name w:val="ListLabel 95"/>
    <w:qFormat/>
    <w:rPr/>
  </w:style>
  <w:style w:type="character" w:styleId="ListLabel96" w:customStyle="1">
    <w:name w:val="ListLabel 96"/>
    <w:qFormat/>
    <w:rPr>
      <w:rFonts w:ascii="Times New Roman" w:hAnsi="Times New Roman"/>
      <w:b/>
      <w:color w:val="000000"/>
      <w:sz w:val="22"/>
      <w:szCs w:val="22"/>
    </w:rPr>
  </w:style>
  <w:style w:type="character" w:styleId="ListLabel97" w:customStyle="1">
    <w:name w:val="ListLabel 97"/>
    <w:qFormat/>
    <w:rPr>
      <w:rFonts w:ascii="Times New Roman" w:hAnsi="Times New Roman"/>
      <w:b/>
      <w:i w:val="false"/>
      <w:strike w:val="false"/>
      <w:dstrike w:val="false"/>
      <w:color w:val="auto"/>
      <w:sz w:val="22"/>
      <w:szCs w:val="22"/>
      <w:u w:val="none"/>
    </w:rPr>
  </w:style>
  <w:style w:type="character" w:styleId="ListLabel98" w:customStyle="1">
    <w:name w:val="ListLabel 98"/>
    <w:qFormat/>
    <w:rPr>
      <w:rFonts w:ascii="Times New Roman" w:hAnsi="Times New Roman" w:cs="Arial"/>
      <w:b w:val="false"/>
      <w:i w:val="false"/>
      <w:strike w:val="false"/>
      <w:dstrike w:val="false"/>
      <w:color w:val="auto"/>
      <w:sz w:val="22"/>
      <w:szCs w:val="22"/>
    </w:rPr>
  </w:style>
  <w:style w:type="character" w:styleId="ListLabel99" w:customStyle="1">
    <w:name w:val="ListLabel 99"/>
    <w:qFormat/>
    <w:rPr>
      <w:b w:val="false"/>
      <w:i w:val="false"/>
    </w:rPr>
  </w:style>
  <w:style w:type="character" w:styleId="ListLabel100" w:customStyle="1">
    <w:name w:val="ListLabel 100"/>
    <w:qFormat/>
    <w:rPr>
      <w:rFonts w:ascii="Arial" w:hAnsi="Arial"/>
      <w:b w:val="false"/>
      <w:sz w:val="20"/>
    </w:rPr>
  </w:style>
  <w:style w:type="character" w:styleId="ListLabel101" w:customStyle="1">
    <w:name w:val="ListLabel 101"/>
    <w:qFormat/>
    <w:rPr>
      <w:rFonts w:ascii="Times New Roman" w:hAnsi="Times New Roman"/>
      <w:b/>
      <w:sz w:val="22"/>
      <w:szCs w:val="22"/>
    </w:rPr>
  </w:style>
  <w:style w:type="character" w:styleId="ListLabel102" w:customStyle="1">
    <w:name w:val="ListLabel 102"/>
    <w:qFormat/>
    <w:rPr>
      <w:b w:val="false"/>
      <w:i w:val="false"/>
      <w:strike w:val="false"/>
      <w:dstrike w:val="false"/>
      <w:color w:val="auto"/>
      <w:sz w:val="20"/>
      <w:szCs w:val="20"/>
      <w:u w:val="none"/>
    </w:rPr>
  </w:style>
  <w:style w:type="character" w:styleId="ListLabel103" w:customStyle="1">
    <w:name w:val="ListLabel 103"/>
    <w:qFormat/>
    <w:rPr>
      <w:rFonts w:cs="Arial"/>
      <w:b w:val="false"/>
      <w:i w:val="false"/>
      <w:strike w:val="false"/>
      <w:dstrike w:val="false"/>
      <w:color w:val="auto"/>
      <w:sz w:val="20"/>
      <w:szCs w:val="20"/>
    </w:rPr>
  </w:style>
  <w:style w:type="character" w:styleId="ListLabel104" w:customStyle="1">
    <w:name w:val="ListLabel 104"/>
    <w:qFormat/>
    <w:rPr>
      <w:rFonts w:ascii="Arial" w:hAnsi="Arial" w:eastAsia="Arial" w:cs="Arial"/>
      <w:sz w:val="20"/>
      <w:szCs w:val="20"/>
    </w:rPr>
  </w:style>
  <w:style w:type="character" w:styleId="ListLabel105" w:customStyle="1">
    <w:name w:val="ListLabel 105"/>
    <w:qFormat/>
    <w:rPr/>
  </w:style>
  <w:style w:type="character" w:styleId="ListLabel106" w:customStyle="1">
    <w:name w:val="ListLabel 106"/>
    <w:qFormat/>
    <w:rPr>
      <w:rFonts w:ascii="Times New Roman" w:hAnsi="Times New Roman"/>
      <w:b/>
      <w:color w:val="000000"/>
      <w:sz w:val="22"/>
      <w:szCs w:val="22"/>
    </w:rPr>
  </w:style>
  <w:style w:type="character" w:styleId="ListLabel107" w:customStyle="1">
    <w:name w:val="ListLabel 107"/>
    <w:qFormat/>
    <w:rPr>
      <w:rFonts w:ascii="Times New Roman" w:hAnsi="Times New Roman"/>
      <w:b/>
      <w:i w:val="false"/>
      <w:strike w:val="false"/>
      <w:dstrike w:val="false"/>
      <w:color w:val="auto"/>
      <w:sz w:val="22"/>
      <w:szCs w:val="22"/>
      <w:u w:val="none"/>
    </w:rPr>
  </w:style>
  <w:style w:type="character" w:styleId="ListLabel108" w:customStyle="1">
    <w:name w:val="ListLabel 108"/>
    <w:qFormat/>
    <w:rPr>
      <w:rFonts w:ascii="Times New Roman" w:hAnsi="Times New Roman" w:cs="Arial"/>
      <w:b w:val="false"/>
      <w:i w:val="false"/>
      <w:strike w:val="false"/>
      <w:dstrike w:val="false"/>
      <w:color w:val="auto"/>
      <w:sz w:val="22"/>
      <w:szCs w:val="22"/>
    </w:rPr>
  </w:style>
  <w:style w:type="character" w:styleId="ListLabel109" w:customStyle="1">
    <w:name w:val="ListLabel 109"/>
    <w:qFormat/>
    <w:rPr>
      <w:b w:val="false"/>
      <w:i w:val="false"/>
    </w:rPr>
  </w:style>
  <w:style w:type="character" w:styleId="ListLabel110" w:customStyle="1">
    <w:name w:val="ListLabel 110"/>
    <w:qFormat/>
    <w:rPr>
      <w:rFonts w:ascii="Arial" w:hAnsi="Arial"/>
      <w:b w:val="false"/>
      <w:sz w:val="20"/>
    </w:rPr>
  </w:style>
  <w:style w:type="character" w:styleId="ListLabel111" w:customStyle="1">
    <w:name w:val="ListLabel 111"/>
    <w:qFormat/>
    <w:rPr>
      <w:b/>
      <w:sz w:val="22"/>
      <w:szCs w:val="22"/>
    </w:rPr>
  </w:style>
  <w:style w:type="character" w:styleId="ListLabel112" w:customStyle="1">
    <w:name w:val="ListLabel 112"/>
    <w:qFormat/>
    <w:rPr>
      <w:b w:val="false"/>
      <w:i w:val="false"/>
      <w:strike w:val="false"/>
      <w:dstrike w:val="false"/>
      <w:color w:val="auto"/>
      <w:sz w:val="20"/>
      <w:szCs w:val="20"/>
      <w:u w:val="none"/>
    </w:rPr>
  </w:style>
  <w:style w:type="character" w:styleId="ListLabel113" w:customStyle="1">
    <w:name w:val="ListLabel 113"/>
    <w:qFormat/>
    <w:rPr>
      <w:rFonts w:cs="Arial"/>
      <w:b w:val="false"/>
      <w:i w:val="false"/>
      <w:strike w:val="false"/>
      <w:dstrike w:val="false"/>
      <w:color w:val="auto"/>
      <w:sz w:val="20"/>
      <w:szCs w:val="20"/>
    </w:rPr>
  </w:style>
  <w:style w:type="character" w:styleId="ListLabel114" w:customStyle="1">
    <w:name w:val="ListLabel 114"/>
    <w:qFormat/>
    <w:rPr>
      <w:rFonts w:ascii="Times New Roman" w:hAnsi="Times New Roman" w:eastAsia="Arial" w:cs="Arial"/>
      <w:sz w:val="22"/>
      <w:szCs w:val="22"/>
    </w:rPr>
  </w:style>
  <w:style w:type="character" w:styleId="ListLabel115" w:customStyle="1">
    <w:name w:val="ListLabel 115"/>
    <w:qFormat/>
    <w:rPr>
      <w:rFonts w:ascii="Times New Roman" w:hAnsi="Times New Roman"/>
      <w:sz w:val="22"/>
      <w:szCs w:val="22"/>
    </w:rPr>
  </w:style>
  <w:style w:type="character" w:styleId="ListLabel116" w:customStyle="1">
    <w:name w:val="ListLabel 116"/>
    <w:qFormat/>
    <w:rPr>
      <w:rFonts w:ascii="Times New Roman" w:hAnsi="Times New Roman"/>
      <w:i w:val="false"/>
      <w:iCs w:val="false"/>
      <w:color w:val="000000"/>
      <w:sz w:val="22"/>
      <w:szCs w:val="22"/>
    </w:rPr>
  </w:style>
  <w:style w:type="character" w:styleId="ListLabel117" w:customStyle="1">
    <w:name w:val="ListLabel 117"/>
    <w:qFormat/>
    <w:rPr>
      <w:rFonts w:ascii="Times New Roman" w:hAnsi="Times New Roman"/>
      <w:b/>
      <w:color w:val="000000"/>
      <w:sz w:val="22"/>
      <w:szCs w:val="22"/>
    </w:rPr>
  </w:style>
  <w:style w:type="character" w:styleId="ListLabel118" w:customStyle="1">
    <w:name w:val="ListLabel 118"/>
    <w:qFormat/>
    <w:rPr>
      <w:rFonts w:ascii="Times New Roman" w:hAnsi="Times New Roman"/>
      <w:b/>
      <w:i w:val="false"/>
      <w:strike w:val="false"/>
      <w:dstrike w:val="false"/>
      <w:color w:val="auto"/>
      <w:sz w:val="22"/>
      <w:szCs w:val="22"/>
      <w:u w:val="none"/>
    </w:rPr>
  </w:style>
  <w:style w:type="character" w:styleId="ListLabel119" w:customStyle="1">
    <w:name w:val="ListLabel 119"/>
    <w:qFormat/>
    <w:rPr>
      <w:rFonts w:ascii="Times New Roman" w:hAnsi="Times New Roman" w:cs="Arial"/>
      <w:b w:val="false"/>
      <w:i w:val="false"/>
      <w:strike w:val="false"/>
      <w:dstrike w:val="false"/>
      <w:color w:val="auto"/>
      <w:sz w:val="22"/>
      <w:szCs w:val="22"/>
    </w:rPr>
  </w:style>
  <w:style w:type="character" w:styleId="ListLabel120" w:customStyle="1">
    <w:name w:val="ListLabel 120"/>
    <w:qFormat/>
    <w:rPr>
      <w:b w:val="false"/>
      <w:i w:val="false"/>
    </w:rPr>
  </w:style>
  <w:style w:type="character" w:styleId="ListLabel121" w:customStyle="1">
    <w:name w:val="ListLabel 121"/>
    <w:qFormat/>
    <w:rPr>
      <w:rFonts w:ascii="Arial" w:hAnsi="Arial"/>
      <w:b w:val="false"/>
      <w:sz w:val="20"/>
    </w:rPr>
  </w:style>
  <w:style w:type="character" w:styleId="ListLabel122" w:customStyle="1">
    <w:name w:val="ListLabel 122"/>
    <w:qFormat/>
    <w:rPr>
      <w:b/>
      <w:sz w:val="22"/>
      <w:szCs w:val="22"/>
    </w:rPr>
  </w:style>
  <w:style w:type="character" w:styleId="ListLabel123" w:customStyle="1">
    <w:name w:val="ListLabel 123"/>
    <w:qFormat/>
    <w:rPr>
      <w:b w:val="false"/>
      <w:i w:val="false"/>
      <w:strike w:val="false"/>
      <w:dstrike w:val="false"/>
      <w:color w:val="auto"/>
      <w:sz w:val="20"/>
      <w:szCs w:val="20"/>
      <w:u w:val="none"/>
    </w:rPr>
  </w:style>
  <w:style w:type="character" w:styleId="ListLabel124" w:customStyle="1">
    <w:name w:val="ListLabel 124"/>
    <w:qFormat/>
    <w:rPr>
      <w:rFonts w:cs="Arial"/>
      <w:b w:val="false"/>
      <w:i w:val="false"/>
      <w:strike w:val="false"/>
      <w:dstrike w:val="false"/>
      <w:color w:val="auto"/>
      <w:sz w:val="20"/>
      <w:szCs w:val="20"/>
    </w:rPr>
  </w:style>
  <w:style w:type="character" w:styleId="ListLabel125" w:customStyle="1">
    <w:name w:val="ListLabel 125"/>
    <w:qFormat/>
    <w:rPr>
      <w:rFonts w:ascii="Times New Roman" w:hAnsi="Times New Roman" w:eastAsia="Arial" w:cs="Arial"/>
      <w:sz w:val="22"/>
      <w:szCs w:val="22"/>
    </w:rPr>
  </w:style>
  <w:style w:type="character" w:styleId="ListLabel126" w:customStyle="1">
    <w:name w:val="ListLabel 126"/>
    <w:qFormat/>
    <w:rPr>
      <w:rFonts w:ascii="Times New Roman" w:hAnsi="Times New Roman"/>
      <w:sz w:val="22"/>
      <w:szCs w:val="22"/>
    </w:rPr>
  </w:style>
  <w:style w:type="character" w:styleId="ListLabel127" w:customStyle="1">
    <w:name w:val="ListLabel 127"/>
    <w:qFormat/>
    <w:rPr>
      <w:rFonts w:ascii="Times New Roman" w:hAnsi="Times New Roman"/>
      <w:i w:val="false"/>
      <w:iCs w:val="false"/>
      <w:color w:val="000000"/>
      <w:sz w:val="22"/>
      <w:szCs w:val="22"/>
    </w:rPr>
  </w:style>
  <w:style w:type="character" w:styleId="ListLabel128" w:customStyle="1">
    <w:name w:val="ListLabel 128"/>
    <w:qFormat/>
    <w:rPr>
      <w:rFonts w:ascii="Times New Roman" w:hAnsi="Times New Roman"/>
      <w:b/>
      <w:color w:val="000000"/>
      <w:sz w:val="22"/>
      <w:szCs w:val="22"/>
    </w:rPr>
  </w:style>
  <w:style w:type="character" w:styleId="ListLabel129" w:customStyle="1">
    <w:name w:val="ListLabel 129"/>
    <w:qFormat/>
    <w:rPr>
      <w:rFonts w:ascii="Times New Roman" w:hAnsi="Times New Roman"/>
      <w:b/>
      <w:i w:val="false"/>
      <w:strike w:val="false"/>
      <w:dstrike w:val="false"/>
      <w:color w:val="auto"/>
      <w:sz w:val="22"/>
      <w:szCs w:val="22"/>
      <w:u w:val="none"/>
    </w:rPr>
  </w:style>
  <w:style w:type="character" w:styleId="ListLabel130" w:customStyle="1">
    <w:name w:val="ListLabel 130"/>
    <w:qFormat/>
    <w:rPr>
      <w:rFonts w:ascii="Times New Roman" w:hAnsi="Times New Roman" w:cs="Arial"/>
      <w:b w:val="false"/>
      <w:i w:val="false"/>
      <w:strike w:val="false"/>
      <w:dstrike w:val="false"/>
      <w:color w:val="auto"/>
      <w:sz w:val="22"/>
      <w:szCs w:val="22"/>
    </w:rPr>
  </w:style>
  <w:style w:type="character" w:styleId="ListLabel131" w:customStyle="1">
    <w:name w:val="ListLabel 131"/>
    <w:qFormat/>
    <w:rPr>
      <w:b w:val="false"/>
      <w:i w:val="false"/>
    </w:rPr>
  </w:style>
  <w:style w:type="character" w:styleId="ListLabel132" w:customStyle="1">
    <w:name w:val="ListLabel 132"/>
    <w:qFormat/>
    <w:rPr>
      <w:rFonts w:ascii="Arial" w:hAnsi="Arial"/>
      <w:b w:val="false"/>
      <w:sz w:val="20"/>
    </w:rPr>
  </w:style>
  <w:style w:type="character" w:styleId="ListLabel133" w:customStyle="1">
    <w:name w:val="ListLabel 133"/>
    <w:qFormat/>
    <w:rPr>
      <w:b/>
      <w:sz w:val="22"/>
      <w:szCs w:val="22"/>
    </w:rPr>
  </w:style>
  <w:style w:type="character" w:styleId="ListLabel134" w:customStyle="1">
    <w:name w:val="ListLabel 134"/>
    <w:qFormat/>
    <w:rPr>
      <w:b w:val="false"/>
      <w:i w:val="false"/>
      <w:strike w:val="false"/>
      <w:dstrike w:val="false"/>
      <w:color w:val="auto"/>
      <w:sz w:val="20"/>
      <w:szCs w:val="20"/>
      <w:u w:val="none"/>
    </w:rPr>
  </w:style>
  <w:style w:type="character" w:styleId="ListLabel135" w:customStyle="1">
    <w:name w:val="ListLabel 135"/>
    <w:qFormat/>
    <w:rPr>
      <w:rFonts w:cs="Arial"/>
      <w:b w:val="false"/>
      <w:i w:val="false"/>
      <w:strike w:val="false"/>
      <w:dstrike w:val="false"/>
      <w:color w:val="auto"/>
      <w:sz w:val="20"/>
      <w:szCs w:val="20"/>
    </w:rPr>
  </w:style>
  <w:style w:type="character" w:styleId="ListLabel136" w:customStyle="1">
    <w:name w:val="ListLabel 136"/>
    <w:qFormat/>
    <w:rPr>
      <w:rFonts w:ascii="Times New Roman" w:hAnsi="Times New Roman" w:eastAsia="Arial" w:cs="Arial"/>
      <w:sz w:val="22"/>
      <w:szCs w:val="22"/>
    </w:rPr>
  </w:style>
  <w:style w:type="character" w:styleId="ListLabel137" w:customStyle="1">
    <w:name w:val="ListLabel 137"/>
    <w:qFormat/>
    <w:rPr>
      <w:rFonts w:ascii="Times New Roman" w:hAnsi="Times New Roman"/>
      <w:sz w:val="22"/>
      <w:szCs w:val="22"/>
    </w:rPr>
  </w:style>
  <w:style w:type="character" w:styleId="ListLabel138" w:customStyle="1">
    <w:name w:val="ListLabel 138"/>
    <w:qFormat/>
    <w:rPr>
      <w:rFonts w:ascii="Times New Roman" w:hAnsi="Times New Roman"/>
      <w:i w:val="false"/>
      <w:iCs w:val="false"/>
      <w:color w:val="000000"/>
      <w:sz w:val="22"/>
      <w:szCs w:val="22"/>
    </w:rPr>
  </w:style>
  <w:style w:type="character" w:styleId="ListLabel139" w:customStyle="1">
    <w:name w:val="ListLabel 139"/>
    <w:qFormat/>
    <w:rPr>
      <w:rFonts w:ascii="Times New Roman" w:hAnsi="Times New Roman"/>
      <w:b/>
      <w:color w:val="000000"/>
      <w:sz w:val="22"/>
      <w:szCs w:val="22"/>
    </w:rPr>
  </w:style>
  <w:style w:type="character" w:styleId="ListLabel140" w:customStyle="1">
    <w:name w:val="ListLabel 140"/>
    <w:qFormat/>
    <w:rPr>
      <w:rFonts w:ascii="Times New Roman" w:hAnsi="Times New Roman"/>
      <w:b/>
      <w:i w:val="false"/>
      <w:strike w:val="false"/>
      <w:dstrike w:val="false"/>
      <w:color w:val="auto"/>
      <w:sz w:val="22"/>
      <w:szCs w:val="22"/>
      <w:u w:val="none"/>
    </w:rPr>
  </w:style>
  <w:style w:type="character" w:styleId="ListLabel141" w:customStyle="1">
    <w:name w:val="ListLabel 141"/>
    <w:qFormat/>
    <w:rPr>
      <w:rFonts w:ascii="Times New Roman" w:hAnsi="Times New Roman" w:cs="Arial"/>
      <w:b w:val="false"/>
      <w:i w:val="false"/>
      <w:strike w:val="false"/>
      <w:dstrike w:val="false"/>
      <w:color w:val="auto"/>
      <w:sz w:val="22"/>
      <w:szCs w:val="22"/>
    </w:rPr>
  </w:style>
  <w:style w:type="character" w:styleId="ListLabel142" w:customStyle="1">
    <w:name w:val="ListLabel 142"/>
    <w:qFormat/>
    <w:rPr>
      <w:b w:val="false"/>
      <w:i w:val="false"/>
    </w:rPr>
  </w:style>
  <w:style w:type="character" w:styleId="ListLabel143" w:customStyle="1">
    <w:name w:val="ListLabel 143"/>
    <w:qFormat/>
    <w:rPr>
      <w:rFonts w:ascii="Arial" w:hAnsi="Arial"/>
      <w:b w:val="false"/>
      <w:sz w:val="20"/>
    </w:rPr>
  </w:style>
  <w:style w:type="character" w:styleId="ListLabel144" w:customStyle="1">
    <w:name w:val="ListLabel 144"/>
    <w:qFormat/>
    <w:rPr>
      <w:b/>
      <w:sz w:val="22"/>
      <w:szCs w:val="22"/>
    </w:rPr>
  </w:style>
  <w:style w:type="character" w:styleId="ListLabel145" w:customStyle="1">
    <w:name w:val="ListLabel 145"/>
    <w:qFormat/>
    <w:rPr>
      <w:b w:val="false"/>
      <w:i w:val="false"/>
      <w:strike w:val="false"/>
      <w:dstrike w:val="false"/>
      <w:color w:val="auto"/>
      <w:sz w:val="20"/>
      <w:szCs w:val="20"/>
      <w:u w:val="none"/>
    </w:rPr>
  </w:style>
  <w:style w:type="character" w:styleId="ListLabel146" w:customStyle="1">
    <w:name w:val="ListLabel 146"/>
    <w:qFormat/>
    <w:rPr>
      <w:rFonts w:cs="Arial"/>
      <w:b w:val="false"/>
      <w:i w:val="false"/>
      <w:strike w:val="false"/>
      <w:dstrike w:val="false"/>
      <w:color w:val="auto"/>
      <w:sz w:val="20"/>
      <w:szCs w:val="20"/>
    </w:rPr>
  </w:style>
  <w:style w:type="character" w:styleId="ListLabel147" w:customStyle="1">
    <w:name w:val="ListLabel 147"/>
    <w:qFormat/>
    <w:rPr>
      <w:rFonts w:ascii="Times New Roman" w:hAnsi="Times New Roman" w:eastAsia="Arial" w:cs="Arial"/>
      <w:sz w:val="22"/>
      <w:szCs w:val="22"/>
    </w:rPr>
  </w:style>
  <w:style w:type="character" w:styleId="ListLabel148" w:customStyle="1">
    <w:name w:val="ListLabel 148"/>
    <w:qFormat/>
    <w:rPr>
      <w:rFonts w:ascii="Times New Roman" w:hAnsi="Times New Roman"/>
      <w:sz w:val="22"/>
      <w:szCs w:val="22"/>
    </w:rPr>
  </w:style>
  <w:style w:type="character" w:styleId="ListLabel149" w:customStyle="1">
    <w:name w:val="ListLabel 149"/>
    <w:qFormat/>
    <w:rPr>
      <w:rFonts w:ascii="Times New Roman" w:hAnsi="Times New Roman"/>
      <w:i w:val="false"/>
      <w:iCs w:val="false"/>
      <w:color w:val="000000"/>
      <w:sz w:val="22"/>
      <w:szCs w:val="22"/>
    </w:rPr>
  </w:style>
  <w:style w:type="character" w:styleId="ListLabel150" w:customStyle="1">
    <w:name w:val="ListLabel 150"/>
    <w:qFormat/>
    <w:rPr>
      <w:rFonts w:ascii="Times New Roman" w:hAnsi="Times New Roman"/>
      <w:b/>
      <w:color w:val="000000"/>
      <w:sz w:val="22"/>
      <w:szCs w:val="22"/>
    </w:rPr>
  </w:style>
  <w:style w:type="character" w:styleId="ListLabel151" w:customStyle="1">
    <w:name w:val="ListLabel 151"/>
    <w:qFormat/>
    <w:rPr>
      <w:rFonts w:ascii="Times New Roman" w:hAnsi="Times New Roman"/>
      <w:b/>
      <w:i w:val="false"/>
      <w:strike w:val="false"/>
      <w:dstrike w:val="false"/>
      <w:color w:val="auto"/>
      <w:sz w:val="22"/>
      <w:szCs w:val="22"/>
      <w:u w:val="none"/>
    </w:rPr>
  </w:style>
  <w:style w:type="character" w:styleId="ListLabel152" w:customStyle="1">
    <w:name w:val="ListLabel 152"/>
    <w:qFormat/>
    <w:rPr>
      <w:rFonts w:ascii="Times New Roman" w:hAnsi="Times New Roman" w:cs="Arial"/>
      <w:b w:val="false"/>
      <w:i w:val="false"/>
      <w:strike w:val="false"/>
      <w:dstrike w:val="false"/>
      <w:color w:val="auto"/>
      <w:sz w:val="22"/>
      <w:szCs w:val="22"/>
    </w:rPr>
  </w:style>
  <w:style w:type="character" w:styleId="ListLabel153" w:customStyle="1">
    <w:name w:val="ListLabel 153"/>
    <w:qFormat/>
    <w:rPr>
      <w:b w:val="false"/>
      <w:i w:val="false"/>
    </w:rPr>
  </w:style>
  <w:style w:type="character" w:styleId="ListLabel154" w:customStyle="1">
    <w:name w:val="ListLabel 154"/>
    <w:qFormat/>
    <w:rPr>
      <w:rFonts w:ascii="Arial" w:hAnsi="Arial"/>
      <w:b w:val="false"/>
      <w:sz w:val="20"/>
    </w:rPr>
  </w:style>
  <w:style w:type="character" w:styleId="ListLabel155" w:customStyle="1">
    <w:name w:val="ListLabel 155"/>
    <w:qFormat/>
    <w:rPr>
      <w:b/>
      <w:sz w:val="22"/>
      <w:szCs w:val="22"/>
    </w:rPr>
  </w:style>
  <w:style w:type="character" w:styleId="ListLabel156" w:customStyle="1">
    <w:name w:val="ListLabel 156"/>
    <w:qFormat/>
    <w:rPr>
      <w:b w:val="false"/>
      <w:i w:val="false"/>
      <w:strike w:val="false"/>
      <w:dstrike w:val="false"/>
      <w:color w:val="auto"/>
      <w:sz w:val="20"/>
      <w:szCs w:val="20"/>
      <w:u w:val="none"/>
    </w:rPr>
  </w:style>
  <w:style w:type="character" w:styleId="ListLabel157" w:customStyle="1">
    <w:name w:val="ListLabel 157"/>
    <w:qFormat/>
    <w:rPr>
      <w:rFonts w:cs="Arial"/>
      <w:b w:val="false"/>
      <w:i w:val="false"/>
      <w:strike w:val="false"/>
      <w:dstrike w:val="false"/>
      <w:color w:val="auto"/>
      <w:sz w:val="20"/>
      <w:szCs w:val="20"/>
    </w:rPr>
  </w:style>
  <w:style w:type="character" w:styleId="ListLabel158" w:customStyle="1">
    <w:name w:val="ListLabel 158"/>
    <w:qFormat/>
    <w:rPr>
      <w:rFonts w:ascii="Times New Roman" w:hAnsi="Times New Roman" w:eastAsia="Arial" w:cs="Arial"/>
      <w:sz w:val="22"/>
      <w:szCs w:val="22"/>
    </w:rPr>
  </w:style>
  <w:style w:type="character" w:styleId="ListLabel159" w:customStyle="1">
    <w:name w:val="ListLabel 159"/>
    <w:qFormat/>
    <w:rPr>
      <w:rFonts w:ascii="Times New Roman" w:hAnsi="Times New Roman"/>
      <w:sz w:val="22"/>
      <w:szCs w:val="22"/>
    </w:rPr>
  </w:style>
  <w:style w:type="character" w:styleId="ListLabel160" w:customStyle="1">
    <w:name w:val="ListLabel 160"/>
    <w:qFormat/>
    <w:rPr>
      <w:rFonts w:ascii="Times New Roman" w:hAnsi="Times New Roman"/>
      <w:i w:val="false"/>
      <w:iCs w:val="false"/>
      <w:color w:val="000000"/>
      <w:sz w:val="22"/>
      <w:szCs w:val="22"/>
    </w:rPr>
  </w:style>
  <w:style w:type="character" w:styleId="ListLabel161" w:customStyle="1">
    <w:name w:val="ListLabel 161"/>
    <w:qFormat/>
    <w:rPr>
      <w:rFonts w:ascii="Times New Roman" w:hAnsi="Times New Roman"/>
      <w:b/>
      <w:color w:val="000000"/>
      <w:sz w:val="22"/>
      <w:szCs w:val="22"/>
    </w:rPr>
  </w:style>
  <w:style w:type="character" w:styleId="ListLabel162" w:customStyle="1">
    <w:name w:val="ListLabel 162"/>
    <w:qFormat/>
    <w:rPr>
      <w:rFonts w:ascii="Times New Roman" w:hAnsi="Times New Roman"/>
      <w:b/>
      <w:i w:val="false"/>
      <w:strike w:val="false"/>
      <w:dstrike w:val="false"/>
      <w:color w:val="auto"/>
      <w:sz w:val="22"/>
      <w:szCs w:val="22"/>
      <w:u w:val="none"/>
    </w:rPr>
  </w:style>
  <w:style w:type="character" w:styleId="ListLabel163" w:customStyle="1">
    <w:name w:val="ListLabel 163"/>
    <w:qFormat/>
    <w:rPr>
      <w:rFonts w:ascii="Times New Roman" w:hAnsi="Times New Roman" w:cs="Arial"/>
      <w:b w:val="false"/>
      <w:i w:val="false"/>
      <w:strike w:val="false"/>
      <w:dstrike w:val="false"/>
      <w:color w:val="auto"/>
      <w:sz w:val="22"/>
      <w:szCs w:val="22"/>
    </w:rPr>
  </w:style>
  <w:style w:type="character" w:styleId="ListLabel164" w:customStyle="1">
    <w:name w:val="ListLabel 164"/>
    <w:qFormat/>
    <w:rPr>
      <w:b w:val="false"/>
      <w:i w:val="false"/>
    </w:rPr>
  </w:style>
  <w:style w:type="character" w:styleId="ListLabel165" w:customStyle="1">
    <w:name w:val="ListLabel 165"/>
    <w:qFormat/>
    <w:rPr>
      <w:rFonts w:ascii="Arial" w:hAnsi="Arial"/>
      <w:b w:val="false"/>
      <w:sz w:val="20"/>
    </w:rPr>
  </w:style>
  <w:style w:type="character" w:styleId="ListLabel166" w:customStyle="1">
    <w:name w:val="ListLabel 166"/>
    <w:qFormat/>
    <w:rPr>
      <w:b/>
      <w:sz w:val="22"/>
      <w:szCs w:val="22"/>
    </w:rPr>
  </w:style>
  <w:style w:type="character" w:styleId="ListLabel167" w:customStyle="1">
    <w:name w:val="ListLabel 167"/>
    <w:qFormat/>
    <w:rPr>
      <w:b w:val="false"/>
      <w:i w:val="false"/>
      <w:strike w:val="false"/>
      <w:dstrike w:val="false"/>
      <w:color w:val="auto"/>
      <w:sz w:val="20"/>
      <w:szCs w:val="20"/>
      <w:u w:val="none"/>
    </w:rPr>
  </w:style>
  <w:style w:type="character" w:styleId="ListLabel168" w:customStyle="1">
    <w:name w:val="ListLabel 168"/>
    <w:qFormat/>
    <w:rPr>
      <w:rFonts w:cs="Arial"/>
      <w:b w:val="false"/>
      <w:i w:val="false"/>
      <w:strike w:val="false"/>
      <w:dstrike w:val="false"/>
      <w:color w:val="auto"/>
      <w:sz w:val="20"/>
      <w:szCs w:val="20"/>
    </w:rPr>
  </w:style>
  <w:style w:type="character" w:styleId="ListLabel169" w:customStyle="1">
    <w:name w:val="ListLabel 169"/>
    <w:qFormat/>
    <w:rPr>
      <w:rFonts w:ascii="Times New Roman" w:hAnsi="Times New Roman" w:eastAsia="Arial" w:cs="Arial"/>
      <w:sz w:val="22"/>
      <w:szCs w:val="22"/>
    </w:rPr>
  </w:style>
  <w:style w:type="character" w:styleId="ListLabel170" w:customStyle="1">
    <w:name w:val="ListLabel 170"/>
    <w:qFormat/>
    <w:rPr>
      <w:rFonts w:ascii="Times New Roman" w:hAnsi="Times New Roman"/>
      <w:sz w:val="22"/>
      <w:szCs w:val="22"/>
    </w:rPr>
  </w:style>
  <w:style w:type="character" w:styleId="ListLabel171" w:customStyle="1">
    <w:name w:val="ListLabel 171"/>
    <w:qFormat/>
    <w:rPr>
      <w:rFonts w:ascii="Times New Roman" w:hAnsi="Times New Roman"/>
      <w:i w:val="false"/>
      <w:iCs w:val="false"/>
      <w:color w:val="000000"/>
      <w:sz w:val="22"/>
      <w:szCs w:val="22"/>
    </w:rPr>
  </w:style>
  <w:style w:type="character" w:styleId="ListLabel172" w:customStyle="1">
    <w:name w:val="ListLabel 172"/>
    <w:qFormat/>
    <w:rPr>
      <w:rFonts w:ascii="Times New Roman" w:hAnsi="Times New Roman"/>
      <w:b/>
      <w:color w:val="000000"/>
      <w:sz w:val="22"/>
      <w:szCs w:val="22"/>
    </w:rPr>
  </w:style>
  <w:style w:type="character" w:styleId="ListLabel173" w:customStyle="1">
    <w:name w:val="ListLabel 173"/>
    <w:qFormat/>
    <w:rPr>
      <w:rFonts w:ascii="Times New Roman" w:hAnsi="Times New Roman"/>
      <w:b/>
      <w:i w:val="false"/>
      <w:strike w:val="false"/>
      <w:dstrike w:val="false"/>
      <w:color w:val="auto"/>
      <w:sz w:val="22"/>
      <w:szCs w:val="22"/>
      <w:u w:val="none"/>
    </w:rPr>
  </w:style>
  <w:style w:type="character" w:styleId="ListLabel174" w:customStyle="1">
    <w:name w:val="ListLabel 174"/>
    <w:qFormat/>
    <w:rPr>
      <w:rFonts w:ascii="Times New Roman" w:hAnsi="Times New Roman" w:cs="Arial"/>
      <w:b w:val="false"/>
      <w:i w:val="false"/>
      <w:strike w:val="false"/>
      <w:dstrike w:val="false"/>
      <w:color w:val="auto"/>
      <w:sz w:val="22"/>
      <w:szCs w:val="22"/>
    </w:rPr>
  </w:style>
  <w:style w:type="character" w:styleId="ListLabel175" w:customStyle="1">
    <w:name w:val="ListLabel 175"/>
    <w:qFormat/>
    <w:rPr>
      <w:b w:val="false"/>
      <w:i w:val="false"/>
    </w:rPr>
  </w:style>
  <w:style w:type="character" w:styleId="ListLabel176" w:customStyle="1">
    <w:name w:val="ListLabel 176"/>
    <w:qFormat/>
    <w:rPr>
      <w:rFonts w:ascii="Arial" w:hAnsi="Arial"/>
      <w:b w:val="false"/>
      <w:sz w:val="20"/>
    </w:rPr>
  </w:style>
  <w:style w:type="character" w:styleId="ListLabel177" w:customStyle="1">
    <w:name w:val="ListLabel 177"/>
    <w:qFormat/>
    <w:rPr>
      <w:b/>
      <w:sz w:val="22"/>
      <w:szCs w:val="22"/>
    </w:rPr>
  </w:style>
  <w:style w:type="character" w:styleId="ListLabel178" w:customStyle="1">
    <w:name w:val="ListLabel 178"/>
    <w:qFormat/>
    <w:rPr>
      <w:b w:val="false"/>
      <w:i w:val="false"/>
      <w:strike w:val="false"/>
      <w:dstrike w:val="false"/>
      <w:color w:val="auto"/>
      <w:sz w:val="20"/>
      <w:szCs w:val="20"/>
      <w:u w:val="none"/>
    </w:rPr>
  </w:style>
  <w:style w:type="character" w:styleId="ListLabel179" w:customStyle="1">
    <w:name w:val="ListLabel 179"/>
    <w:qFormat/>
    <w:rPr>
      <w:rFonts w:cs="Arial"/>
      <w:b w:val="false"/>
      <w:i w:val="false"/>
      <w:strike w:val="false"/>
      <w:dstrike w:val="false"/>
      <w:color w:val="auto"/>
      <w:sz w:val="20"/>
      <w:szCs w:val="20"/>
    </w:rPr>
  </w:style>
  <w:style w:type="character" w:styleId="ListLabel180" w:customStyle="1">
    <w:name w:val="ListLabel 180"/>
    <w:qFormat/>
    <w:rPr>
      <w:rFonts w:ascii="Times New Roman" w:hAnsi="Times New Roman" w:eastAsia="Arial" w:cs="Arial"/>
      <w:sz w:val="22"/>
      <w:szCs w:val="22"/>
    </w:rPr>
  </w:style>
  <w:style w:type="character" w:styleId="ListLabel181" w:customStyle="1">
    <w:name w:val="ListLabel 181"/>
    <w:qFormat/>
    <w:rPr>
      <w:rFonts w:ascii="Times New Roman" w:hAnsi="Times New Roman"/>
      <w:sz w:val="22"/>
      <w:szCs w:val="22"/>
    </w:rPr>
  </w:style>
  <w:style w:type="character" w:styleId="ListLabel182" w:customStyle="1">
    <w:name w:val="ListLabel 182"/>
    <w:qFormat/>
    <w:rPr>
      <w:rFonts w:ascii="Times New Roman" w:hAnsi="Times New Roman"/>
      <w:i w:val="false"/>
      <w:iCs w:val="false"/>
      <w:color w:val="000000"/>
      <w:sz w:val="22"/>
      <w:szCs w:val="22"/>
    </w:rPr>
  </w:style>
  <w:style w:type="character" w:styleId="ListLabel183" w:customStyle="1">
    <w:name w:val="ListLabel 183"/>
    <w:qFormat/>
    <w:rPr>
      <w:rFonts w:ascii="Times New Roman" w:hAnsi="Times New Roman"/>
      <w:b/>
      <w:color w:val="000000"/>
      <w:sz w:val="22"/>
      <w:szCs w:val="22"/>
    </w:rPr>
  </w:style>
  <w:style w:type="character" w:styleId="ListLabel184" w:customStyle="1">
    <w:name w:val="ListLabel 184"/>
    <w:qFormat/>
    <w:rPr>
      <w:rFonts w:ascii="Times New Roman" w:hAnsi="Times New Roman"/>
      <w:b/>
      <w:i w:val="false"/>
      <w:strike w:val="false"/>
      <w:dstrike w:val="false"/>
      <w:color w:val="auto"/>
      <w:sz w:val="22"/>
      <w:szCs w:val="22"/>
      <w:u w:val="none"/>
    </w:rPr>
  </w:style>
  <w:style w:type="character" w:styleId="ListLabel185" w:customStyle="1">
    <w:name w:val="ListLabel 185"/>
    <w:qFormat/>
    <w:rPr>
      <w:rFonts w:ascii="Times New Roman" w:hAnsi="Times New Roman" w:cs="Arial"/>
      <w:b w:val="false"/>
      <w:i w:val="false"/>
      <w:strike w:val="false"/>
      <w:dstrike w:val="false"/>
      <w:color w:val="auto"/>
      <w:sz w:val="22"/>
      <w:szCs w:val="22"/>
    </w:rPr>
  </w:style>
  <w:style w:type="character" w:styleId="ListLabel186" w:customStyle="1">
    <w:name w:val="ListLabel 186"/>
    <w:qFormat/>
    <w:rPr>
      <w:b w:val="false"/>
      <w:i w:val="false"/>
    </w:rPr>
  </w:style>
  <w:style w:type="character" w:styleId="ListLabel187" w:customStyle="1">
    <w:name w:val="ListLabel 187"/>
    <w:qFormat/>
    <w:rPr>
      <w:rFonts w:ascii="Arial" w:hAnsi="Arial"/>
      <w:b w:val="false"/>
      <w:sz w:val="20"/>
    </w:rPr>
  </w:style>
  <w:style w:type="character" w:styleId="ListLabel188" w:customStyle="1">
    <w:name w:val="ListLabel 188"/>
    <w:qFormat/>
    <w:rPr>
      <w:b/>
      <w:sz w:val="22"/>
      <w:szCs w:val="22"/>
    </w:rPr>
  </w:style>
  <w:style w:type="character" w:styleId="ListLabel189" w:customStyle="1">
    <w:name w:val="ListLabel 189"/>
    <w:qFormat/>
    <w:rPr>
      <w:b w:val="false"/>
      <w:i w:val="false"/>
      <w:strike w:val="false"/>
      <w:dstrike w:val="false"/>
      <w:color w:val="auto"/>
      <w:sz w:val="20"/>
      <w:szCs w:val="20"/>
      <w:u w:val="none"/>
    </w:rPr>
  </w:style>
  <w:style w:type="character" w:styleId="ListLabel190" w:customStyle="1">
    <w:name w:val="ListLabel 190"/>
    <w:qFormat/>
    <w:rPr>
      <w:rFonts w:cs="Arial"/>
      <w:b w:val="false"/>
      <w:i w:val="false"/>
      <w:strike w:val="false"/>
      <w:dstrike w:val="false"/>
      <w:color w:val="auto"/>
      <w:sz w:val="20"/>
      <w:szCs w:val="20"/>
    </w:rPr>
  </w:style>
  <w:style w:type="character" w:styleId="ListLabel191" w:customStyle="1">
    <w:name w:val="ListLabel 191"/>
    <w:qFormat/>
    <w:rPr>
      <w:rFonts w:ascii="Times New Roman" w:hAnsi="Times New Roman" w:eastAsia="Arial" w:cs="Arial"/>
      <w:sz w:val="22"/>
      <w:szCs w:val="22"/>
    </w:rPr>
  </w:style>
  <w:style w:type="character" w:styleId="ListLabel192" w:customStyle="1">
    <w:name w:val="ListLabel 192"/>
    <w:qFormat/>
    <w:rPr>
      <w:rFonts w:ascii="Times New Roman" w:hAnsi="Times New Roman"/>
      <w:sz w:val="22"/>
      <w:szCs w:val="22"/>
    </w:rPr>
  </w:style>
  <w:style w:type="character" w:styleId="ListLabel193" w:customStyle="1">
    <w:name w:val="ListLabel 193"/>
    <w:qFormat/>
    <w:rPr>
      <w:rFonts w:ascii="Times New Roman" w:hAnsi="Times New Roman"/>
      <w:i w:val="false"/>
      <w:iCs w:val="false"/>
      <w:color w:val="000000"/>
      <w:sz w:val="22"/>
      <w:szCs w:val="22"/>
    </w:rPr>
  </w:style>
  <w:style w:type="character" w:styleId="ListLabel194">
    <w:name w:val="ListLabel 194"/>
    <w:qFormat/>
    <w:rPr>
      <w:b/>
      <w:color w:val="000000"/>
      <w:sz w:val="22"/>
      <w:szCs w:val="22"/>
    </w:rPr>
  </w:style>
  <w:style w:type="character" w:styleId="ListLabel195">
    <w:name w:val="ListLabel 195"/>
    <w:qFormat/>
    <w:rPr>
      <w:b/>
      <w:i w:val="false"/>
      <w:strike w:val="false"/>
      <w:dstrike w:val="false"/>
      <w:color w:val="auto"/>
      <w:sz w:val="22"/>
      <w:szCs w:val="22"/>
      <w:u w:val="none"/>
    </w:rPr>
  </w:style>
  <w:style w:type="character" w:styleId="ListLabel196">
    <w:name w:val="ListLabel 196"/>
    <w:qFormat/>
    <w:rPr>
      <w:rFonts w:cs="Arial"/>
      <w:b w:val="false"/>
      <w:i w:val="false"/>
      <w:strike w:val="false"/>
      <w:dstrike w:val="false"/>
      <w:color w:val="auto"/>
      <w:sz w:val="22"/>
      <w:szCs w:val="22"/>
    </w:rPr>
  </w:style>
  <w:style w:type="character" w:styleId="ListLabel197">
    <w:name w:val="ListLabel 197"/>
    <w:qFormat/>
    <w:rPr>
      <w:b w:val="false"/>
      <w:i w:val="false"/>
    </w:rPr>
  </w:style>
  <w:style w:type="character" w:styleId="ListLabel198">
    <w:name w:val="ListLabel 198"/>
    <w:qFormat/>
    <w:rPr>
      <w:rFonts w:ascii="Arial" w:hAnsi="Arial"/>
      <w:b w:val="false"/>
      <w:sz w:val="20"/>
    </w:rPr>
  </w:style>
  <w:style w:type="character" w:styleId="ListLabel199">
    <w:name w:val="ListLabel 199"/>
    <w:qFormat/>
    <w:rPr>
      <w:rFonts w:cs="Times New Roman"/>
      <w:b/>
      <w:sz w:val="24"/>
      <w:szCs w:val="24"/>
    </w:rPr>
  </w:style>
  <w:style w:type="character" w:styleId="ListLabel200">
    <w:name w:val="ListLabel 200"/>
    <w:qFormat/>
    <w:rPr>
      <w:b w:val="false"/>
      <w:i w:val="false"/>
      <w:strike w:val="false"/>
      <w:dstrike w:val="false"/>
      <w:color w:val="auto"/>
      <w:sz w:val="20"/>
      <w:szCs w:val="20"/>
      <w:u w:val="none"/>
    </w:rPr>
  </w:style>
  <w:style w:type="character" w:styleId="ListLabel201">
    <w:name w:val="ListLabel 201"/>
    <w:qFormat/>
    <w:rPr>
      <w:rFonts w:cs="Arial"/>
      <w:b w:val="false"/>
      <w:i w:val="false"/>
      <w:strike w:val="false"/>
      <w:dstrike w:val="false"/>
      <w:color w:val="auto"/>
      <w:sz w:val="20"/>
      <w:szCs w:val="20"/>
    </w:rPr>
  </w:style>
  <w:style w:type="character" w:styleId="ListLabel202">
    <w:name w:val="ListLabel 202"/>
    <w:qFormat/>
    <w:rPr>
      <w:rFonts w:ascii="Times New Roman" w:hAnsi="Times New Roman" w:eastAsia="Arial" w:cs="Arial"/>
      <w:color w:val="auto"/>
      <w:u w:val="none"/>
    </w:rPr>
  </w:style>
  <w:style w:type="character" w:styleId="ListLabel203">
    <w:name w:val="ListLabel 203"/>
    <w:qFormat/>
    <w:rPr>
      <w:rFonts w:ascii="Times New Roman" w:hAnsi="Times New Roman"/>
      <w:color w:val="auto"/>
      <w:sz w:val="24"/>
      <w:szCs w:val="24"/>
      <w:u w:val="none"/>
    </w:rPr>
  </w:style>
  <w:style w:type="character" w:styleId="ListLabel204">
    <w:name w:val="ListLabel 204"/>
    <w:qFormat/>
    <w:rPr>
      <w:rFonts w:ascii="Times New Roman" w:hAnsi="Times New Roman"/>
      <w:i w:val="false"/>
      <w:iCs w:val="false"/>
      <w:color w:val="auto"/>
      <w:sz w:val="24"/>
      <w:szCs w:val="24"/>
      <w:u w:val="none"/>
    </w:rPr>
  </w:style>
  <w:style w:type="character" w:styleId="ListLabel205">
    <w:name w:val="ListLabel 205"/>
    <w:qFormat/>
    <w:rPr>
      <w:rFonts w:ascii="Times New Roman" w:hAnsi="Times New Roman"/>
      <w:color w:val="auto"/>
      <w:u w:val="none"/>
    </w:rPr>
  </w:style>
  <w:style w:type="character" w:styleId="ListLabel206">
    <w:name w:val="ListLabel 206"/>
    <w:qFormat/>
    <w:rPr>
      <w:b w:val="false"/>
      <w:i w:val="false"/>
    </w:rPr>
  </w:style>
  <w:style w:type="character" w:styleId="ListLabel207">
    <w:name w:val="ListLabel 207"/>
    <w:qFormat/>
    <w:rPr>
      <w:rFonts w:ascii="Arial" w:hAnsi="Arial"/>
      <w:b w:val="false"/>
      <w:sz w:val="20"/>
    </w:rPr>
  </w:style>
  <w:style w:type="character" w:styleId="ListLabel208">
    <w:name w:val="ListLabel 208"/>
    <w:qFormat/>
    <w:rPr>
      <w:rFonts w:ascii="Times New Roman" w:hAnsi="Times New Roman" w:eastAsia="Arial" w:cs="Arial"/>
      <w:b w:val="false"/>
      <w:bCs w:val="false"/>
      <w:color w:val="auto"/>
      <w:u w:val="none"/>
    </w:rPr>
  </w:style>
  <w:style w:type="character" w:styleId="ListLabel209">
    <w:name w:val="ListLabel 209"/>
    <w:qFormat/>
    <w:rPr>
      <w:rFonts w:ascii="Times New Roman" w:hAnsi="Times New Roman"/>
      <w:b w:val="false"/>
      <w:bCs w:val="false"/>
      <w:color w:val="auto"/>
      <w:sz w:val="24"/>
      <w:szCs w:val="24"/>
      <w:u w:val="none"/>
    </w:rPr>
  </w:style>
  <w:style w:type="character" w:styleId="ListLabel210">
    <w:name w:val="ListLabel 210"/>
    <w:qFormat/>
    <w:rPr>
      <w:rFonts w:ascii="Times New Roman" w:hAnsi="Times New Roman"/>
      <w:i w:val="false"/>
      <w:iCs w:val="false"/>
      <w:color w:val="auto"/>
      <w:sz w:val="24"/>
      <w:szCs w:val="24"/>
      <w:u w:val="none"/>
    </w:rPr>
  </w:style>
  <w:style w:type="character" w:styleId="ListLabel211">
    <w:name w:val="ListLabel 211"/>
    <w:qFormat/>
    <w:rPr>
      <w:rFonts w:ascii="Times New Roman" w:hAnsi="Times New Roman"/>
      <w:color w:val="auto"/>
      <w:sz w:val="24"/>
      <w:szCs w:val="24"/>
      <w:u w:val="none"/>
    </w:rPr>
  </w:style>
  <w:style w:type="character" w:styleId="ListLabel212">
    <w:name w:val="ListLabel 212"/>
    <w:qFormat/>
    <w:rPr>
      <w:rFonts w:ascii="Times New Roman" w:hAnsi="Times New Roman" w:eastAsia="Arial" w:cs="Arial"/>
      <w:color w:val="auto"/>
      <w:u w:val="none"/>
    </w:rPr>
  </w:style>
  <w:style w:type="character" w:styleId="ListLabel213">
    <w:name w:val="ListLabel 213"/>
    <w:qFormat/>
    <w:rPr>
      <w:rFonts w:ascii="Times New Roman" w:hAnsi="Times New Roman"/>
      <w:color w:val="auto"/>
      <w:u w:val="none"/>
    </w:rPr>
  </w:style>
  <w:style w:type="character" w:styleId="ListLabel214">
    <w:name w:val="ListLabel 214"/>
    <w:qFormat/>
    <w:rPr>
      <w:b w:val="false"/>
      <w:i w:val="false"/>
    </w:rPr>
  </w:style>
  <w:style w:type="character" w:styleId="ListLabel215">
    <w:name w:val="ListLabel 215"/>
    <w:qFormat/>
    <w:rPr>
      <w:rFonts w:ascii="Arial" w:hAnsi="Arial"/>
      <w:b w:val="false"/>
      <w:sz w:val="20"/>
    </w:rPr>
  </w:style>
  <w:style w:type="character" w:styleId="ListLabel216">
    <w:name w:val="ListLabel 216"/>
    <w:qFormat/>
    <w:rPr>
      <w:rFonts w:ascii="Times New Roman" w:hAnsi="Times New Roman" w:eastAsia="Arial" w:cs="Arial"/>
      <w:b w:val="false"/>
      <w:bCs w:val="false"/>
      <w:color w:val="auto"/>
      <w:u w:val="none"/>
    </w:rPr>
  </w:style>
  <w:style w:type="character" w:styleId="ListLabel217">
    <w:name w:val="ListLabel 217"/>
    <w:qFormat/>
    <w:rPr>
      <w:rFonts w:ascii="Times New Roman" w:hAnsi="Times New Roman"/>
      <w:b w:val="false"/>
      <w:bCs w:val="false"/>
      <w:color w:val="auto"/>
      <w:sz w:val="24"/>
      <w:szCs w:val="24"/>
      <w:u w:val="none"/>
    </w:rPr>
  </w:style>
  <w:style w:type="character" w:styleId="ListLabel218">
    <w:name w:val="ListLabel 218"/>
    <w:qFormat/>
    <w:rPr>
      <w:rFonts w:ascii="Times New Roman" w:hAnsi="Times New Roman"/>
      <w:i w:val="false"/>
      <w:iCs w:val="false"/>
      <w:color w:val="auto"/>
      <w:sz w:val="24"/>
      <w:szCs w:val="24"/>
      <w:u w:val="none"/>
    </w:rPr>
  </w:style>
  <w:style w:type="character" w:styleId="ListLabel219">
    <w:name w:val="ListLabel 219"/>
    <w:qFormat/>
    <w:rPr>
      <w:rFonts w:ascii="Times New Roman" w:hAnsi="Times New Roman"/>
      <w:color w:val="auto"/>
      <w:sz w:val="24"/>
      <w:szCs w:val="24"/>
      <w:u w:val="none"/>
    </w:rPr>
  </w:style>
  <w:style w:type="character" w:styleId="ListLabel220">
    <w:name w:val="ListLabel 220"/>
    <w:qFormat/>
    <w:rPr>
      <w:rFonts w:ascii="Times New Roman" w:hAnsi="Times New Roman" w:eastAsia="Arial" w:cs="Arial"/>
      <w:color w:val="auto"/>
      <w:u w:val="none"/>
    </w:rPr>
  </w:style>
  <w:style w:type="character" w:styleId="ListLabel221">
    <w:name w:val="ListLabel 221"/>
    <w:qFormat/>
    <w:rPr>
      <w:rFonts w:ascii="Times New Roman" w:hAnsi="Times New Roman"/>
      <w:color w:val="auto"/>
      <w:u w:val="none"/>
    </w:rPr>
  </w:style>
  <w:style w:type="character" w:styleId="ListLabel222">
    <w:name w:val="ListLabel 222"/>
    <w:qFormat/>
    <w:rPr>
      <w:b w:val="false"/>
      <w:i w:val="false"/>
    </w:rPr>
  </w:style>
  <w:style w:type="character" w:styleId="ListLabel223">
    <w:name w:val="ListLabel 223"/>
    <w:qFormat/>
    <w:rPr>
      <w:rFonts w:ascii="Arial" w:hAnsi="Arial"/>
      <w:b w:val="false"/>
      <w:sz w:val="20"/>
    </w:rPr>
  </w:style>
  <w:style w:type="character" w:styleId="ListLabel224">
    <w:name w:val="ListLabel 224"/>
    <w:qFormat/>
    <w:rPr>
      <w:rFonts w:ascii="Times New Roman" w:hAnsi="Times New Roman" w:eastAsia="Arial" w:cs="Arial"/>
      <w:b w:val="false"/>
      <w:bCs w:val="false"/>
      <w:color w:val="auto"/>
      <w:u w:val="none"/>
    </w:rPr>
  </w:style>
  <w:style w:type="character" w:styleId="ListLabel225">
    <w:name w:val="ListLabel 225"/>
    <w:qFormat/>
    <w:rPr>
      <w:rFonts w:ascii="Times New Roman" w:hAnsi="Times New Roman"/>
      <w:b w:val="false"/>
      <w:bCs w:val="false"/>
      <w:color w:val="auto"/>
      <w:sz w:val="24"/>
      <w:szCs w:val="24"/>
      <w:u w:val="none"/>
    </w:rPr>
  </w:style>
  <w:style w:type="character" w:styleId="ListLabel226">
    <w:name w:val="ListLabel 226"/>
    <w:qFormat/>
    <w:rPr>
      <w:rFonts w:ascii="Times New Roman" w:hAnsi="Times New Roman"/>
      <w:i w:val="false"/>
      <w:iCs w:val="false"/>
      <w:color w:val="auto"/>
      <w:sz w:val="24"/>
      <w:szCs w:val="24"/>
      <w:u w:val="none"/>
    </w:rPr>
  </w:style>
  <w:style w:type="character" w:styleId="ListLabel227">
    <w:name w:val="ListLabel 227"/>
    <w:qFormat/>
    <w:rPr>
      <w:rFonts w:ascii="Times New Roman" w:hAnsi="Times New Roman"/>
      <w:color w:val="auto"/>
      <w:sz w:val="24"/>
      <w:szCs w:val="24"/>
      <w:u w:val="none"/>
    </w:rPr>
  </w:style>
  <w:style w:type="character" w:styleId="ListLabel228">
    <w:name w:val="ListLabel 228"/>
    <w:qFormat/>
    <w:rPr>
      <w:rFonts w:ascii="Times New Roman" w:hAnsi="Times New Roman" w:eastAsia="Arial" w:cs="Arial"/>
      <w:color w:val="auto"/>
      <w:u w:val="none"/>
    </w:rPr>
  </w:style>
  <w:style w:type="character" w:styleId="ListLabel229">
    <w:name w:val="ListLabel 229"/>
    <w:qFormat/>
    <w:rPr>
      <w:rFonts w:ascii="Times New Roman" w:hAnsi="Times New Roman"/>
      <w:color w:val="auto"/>
      <w:u w:val="none"/>
    </w:rPr>
  </w:style>
  <w:style w:type="character" w:styleId="ListLabel230">
    <w:name w:val="ListLabel 230"/>
    <w:qFormat/>
    <w:rPr>
      <w:b w:val="false"/>
      <w:i w:val="false"/>
    </w:rPr>
  </w:style>
  <w:style w:type="character" w:styleId="ListLabel231">
    <w:name w:val="ListLabel 231"/>
    <w:qFormat/>
    <w:rPr>
      <w:rFonts w:ascii="Arial" w:hAnsi="Arial"/>
      <w:b w:val="false"/>
      <w:sz w:val="20"/>
    </w:rPr>
  </w:style>
  <w:style w:type="character" w:styleId="ListLabel232">
    <w:name w:val="ListLabel 232"/>
    <w:qFormat/>
    <w:rPr>
      <w:rFonts w:ascii="Times New Roman" w:hAnsi="Times New Roman" w:eastAsia="Arial" w:cs="Arial"/>
      <w:b w:val="false"/>
      <w:bCs w:val="false"/>
      <w:color w:val="auto"/>
      <w:u w:val="none"/>
    </w:rPr>
  </w:style>
  <w:style w:type="character" w:styleId="ListLabel233">
    <w:name w:val="ListLabel 233"/>
    <w:qFormat/>
    <w:rPr>
      <w:rFonts w:ascii="Times New Roman" w:hAnsi="Times New Roman"/>
      <w:b w:val="false"/>
      <w:bCs w:val="false"/>
      <w:color w:val="auto"/>
      <w:sz w:val="24"/>
      <w:szCs w:val="24"/>
      <w:u w:val="none"/>
    </w:rPr>
  </w:style>
  <w:style w:type="character" w:styleId="ListLabel234">
    <w:name w:val="ListLabel 234"/>
    <w:qFormat/>
    <w:rPr>
      <w:rFonts w:ascii="Times New Roman" w:hAnsi="Times New Roman"/>
      <w:i w:val="false"/>
      <w:iCs w:val="false"/>
      <w:color w:val="auto"/>
      <w:sz w:val="24"/>
      <w:szCs w:val="24"/>
      <w:u w:val="none"/>
    </w:rPr>
  </w:style>
  <w:style w:type="character" w:styleId="ListLabel235">
    <w:name w:val="ListLabel 235"/>
    <w:qFormat/>
    <w:rPr>
      <w:rFonts w:ascii="Times New Roman" w:hAnsi="Times New Roman"/>
      <w:color w:val="auto"/>
      <w:sz w:val="24"/>
      <w:szCs w:val="24"/>
      <w:u w:val="none"/>
    </w:rPr>
  </w:style>
  <w:style w:type="character" w:styleId="ListLabel236">
    <w:name w:val="ListLabel 236"/>
    <w:qFormat/>
    <w:rPr>
      <w:rFonts w:ascii="Times New Roman" w:hAnsi="Times New Roman" w:eastAsia="Arial" w:cs="Arial"/>
      <w:color w:val="auto"/>
      <w:u w:val="none"/>
    </w:rPr>
  </w:style>
  <w:style w:type="character" w:styleId="ListLabel237">
    <w:name w:val="ListLabel 237"/>
    <w:qFormat/>
    <w:rPr>
      <w:rFonts w:ascii="Times New Roman" w:hAnsi="Times New Roman"/>
      <w:color w:val="auto"/>
      <w:u w:val="none"/>
    </w:rPr>
  </w:style>
  <w:style w:type="character" w:styleId="ListLabel238">
    <w:name w:val="ListLabel 238"/>
    <w:qFormat/>
    <w:rPr>
      <w:b w:val="false"/>
      <w:i w:val="false"/>
    </w:rPr>
  </w:style>
  <w:style w:type="character" w:styleId="ListLabel239">
    <w:name w:val="ListLabel 239"/>
    <w:qFormat/>
    <w:rPr>
      <w:rFonts w:ascii="Arial" w:hAnsi="Arial"/>
      <w:b w:val="false"/>
      <w:sz w:val="20"/>
    </w:rPr>
  </w:style>
  <w:style w:type="character" w:styleId="ListLabel240">
    <w:name w:val="ListLabel 240"/>
    <w:qFormat/>
    <w:rPr>
      <w:rFonts w:ascii="Times New Roman" w:hAnsi="Times New Roman" w:eastAsia="Arial" w:cs="Arial"/>
      <w:b w:val="false"/>
      <w:bCs w:val="false"/>
      <w:color w:val="auto"/>
      <w:u w:val="none"/>
    </w:rPr>
  </w:style>
  <w:style w:type="character" w:styleId="ListLabel241">
    <w:name w:val="ListLabel 241"/>
    <w:qFormat/>
    <w:rPr>
      <w:rFonts w:ascii="Times New Roman" w:hAnsi="Times New Roman"/>
      <w:b w:val="false"/>
      <w:bCs w:val="false"/>
      <w:color w:val="auto"/>
      <w:sz w:val="24"/>
      <w:szCs w:val="24"/>
      <w:u w:val="none"/>
    </w:rPr>
  </w:style>
  <w:style w:type="character" w:styleId="ListLabel242">
    <w:name w:val="ListLabel 242"/>
    <w:qFormat/>
    <w:rPr>
      <w:rFonts w:ascii="Times New Roman" w:hAnsi="Times New Roman"/>
      <w:i w:val="false"/>
      <w:iCs w:val="false"/>
      <w:color w:val="auto"/>
      <w:sz w:val="24"/>
      <w:szCs w:val="24"/>
      <w:u w:val="none"/>
    </w:rPr>
  </w:style>
  <w:style w:type="character" w:styleId="ListLabel243">
    <w:name w:val="ListLabel 243"/>
    <w:qFormat/>
    <w:rPr>
      <w:rFonts w:ascii="Times New Roman" w:hAnsi="Times New Roman"/>
      <w:color w:val="auto"/>
      <w:sz w:val="24"/>
      <w:szCs w:val="24"/>
      <w:u w:val="none"/>
    </w:rPr>
  </w:style>
  <w:style w:type="character" w:styleId="ListLabel244">
    <w:name w:val="ListLabel 244"/>
    <w:qFormat/>
    <w:rPr>
      <w:rFonts w:ascii="Times New Roman" w:hAnsi="Times New Roman" w:eastAsia="Arial" w:cs="Arial"/>
      <w:color w:val="auto"/>
      <w:u w:val="none"/>
    </w:rPr>
  </w:style>
  <w:style w:type="character" w:styleId="ListLabel245">
    <w:name w:val="ListLabel 245"/>
    <w:qFormat/>
    <w:rPr>
      <w:rFonts w:ascii="Times New Roman" w:hAnsi="Times New Roman"/>
      <w:color w:val="auto"/>
      <w:u w:val="none"/>
    </w:rPr>
  </w:style>
  <w:style w:type="character" w:styleId="ListLabel246">
    <w:name w:val="ListLabel 246"/>
    <w:qFormat/>
    <w:rPr>
      <w:b w:val="false"/>
      <w:i w:val="false"/>
    </w:rPr>
  </w:style>
  <w:style w:type="character" w:styleId="ListLabel247">
    <w:name w:val="ListLabel 247"/>
    <w:qFormat/>
    <w:rPr>
      <w:rFonts w:ascii="Arial" w:hAnsi="Arial"/>
      <w:b w:val="false"/>
      <w:sz w:val="20"/>
    </w:rPr>
  </w:style>
  <w:style w:type="character" w:styleId="ListLabel248">
    <w:name w:val="ListLabel 248"/>
    <w:qFormat/>
    <w:rPr>
      <w:rFonts w:ascii="Times New Roman" w:hAnsi="Times New Roman" w:eastAsia="Arial" w:cs="Arial"/>
      <w:b w:val="false"/>
      <w:bCs w:val="false"/>
      <w:color w:val="auto"/>
      <w:u w:val="none"/>
    </w:rPr>
  </w:style>
  <w:style w:type="character" w:styleId="ListLabel249">
    <w:name w:val="ListLabel 249"/>
    <w:qFormat/>
    <w:rPr>
      <w:rFonts w:ascii="Times New Roman" w:hAnsi="Times New Roman"/>
      <w:b w:val="false"/>
      <w:bCs w:val="false"/>
      <w:color w:val="auto"/>
      <w:sz w:val="24"/>
      <w:szCs w:val="24"/>
      <w:u w:val="none"/>
    </w:rPr>
  </w:style>
  <w:style w:type="character" w:styleId="ListLabel250">
    <w:name w:val="ListLabel 250"/>
    <w:qFormat/>
    <w:rPr>
      <w:rFonts w:ascii="Times New Roman" w:hAnsi="Times New Roman"/>
      <w:i w:val="false"/>
      <w:iCs w:val="false"/>
      <w:color w:val="auto"/>
      <w:sz w:val="24"/>
      <w:szCs w:val="24"/>
      <w:u w:val="none"/>
    </w:rPr>
  </w:style>
  <w:style w:type="character" w:styleId="ListLabel251">
    <w:name w:val="ListLabel 251"/>
    <w:qFormat/>
    <w:rPr>
      <w:rFonts w:ascii="Times New Roman" w:hAnsi="Times New Roman"/>
      <w:color w:val="auto"/>
      <w:sz w:val="24"/>
      <w:szCs w:val="24"/>
      <w:u w:val="none"/>
    </w:rPr>
  </w:style>
  <w:style w:type="character" w:styleId="ListLabel252">
    <w:name w:val="ListLabel 252"/>
    <w:qFormat/>
    <w:rPr>
      <w:rFonts w:ascii="Times New Roman" w:hAnsi="Times New Roman" w:eastAsia="Arial" w:cs="Arial"/>
      <w:color w:val="auto"/>
      <w:u w:val="none"/>
    </w:rPr>
  </w:style>
  <w:style w:type="character" w:styleId="ListLabel253">
    <w:name w:val="ListLabel 253"/>
    <w:qFormat/>
    <w:rPr>
      <w:rFonts w:ascii="Times New Roman" w:hAnsi="Times New Roman"/>
      <w:color w:val="auto"/>
      <w:u w:val="none"/>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qFormat/>
    <w:pPr>
      <w:suppressLineNumbers/>
      <w:spacing w:before="120" w:after="120"/>
    </w:pPr>
    <w:rPr>
      <w:rFonts w:cs="Lohit Devanagari"/>
      <w:i/>
      <w:iC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
    <w:name w:val="Header"/>
    <w:basedOn w:val="Normal"/>
    <w:link w:val="CabealhoChar"/>
    <w:uiPriority w:val="99"/>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f83142"/>
    <w:pPr/>
    <w:rPr>
      <w:i/>
      <w:iCs/>
      <w:color w:val="FF0000"/>
    </w:rPr>
  </w:style>
  <w:style w:type="paragraph" w:styleId="Nvel3R" w:customStyle="1">
    <w:name w:val="Nível 3-R"/>
    <w:basedOn w:val="Nivel3"/>
    <w:qFormat/>
    <w:rsid w:val="00216690"/>
    <w:pPr/>
    <w:rPr>
      <w:i/>
      <w:iCs/>
      <w:color w:val="FF0000"/>
    </w:rPr>
  </w:style>
  <w:style w:type="paragraph" w:styleId="Nvel4R" w:customStyle="1">
    <w:name w:val="Nível 4-R"/>
    <w:basedOn w:val="Nivel4"/>
    <w:qFormat/>
    <w:rsid w:val="00216690"/>
    <w:pPr>
      <w:ind w:left="851" w:hanging="0"/>
    </w:pPr>
    <w:rPr>
      <w:i/>
      <w:iCs/>
      <w:color w:val="FF0000"/>
    </w:rPr>
  </w:style>
  <w:style w:type="paragraph" w:styleId="Nvel1SemNum" w:customStyle="1">
    <w:name w:val="Nível 1-Sem Num"/>
    <w:basedOn w:val="Nivel01"/>
    <w:qFormat/>
    <w:rsid w:val="00216690"/>
    <w:pPr>
      <w:outlineLvl w:val="1"/>
    </w:pPr>
    <w:rPr>
      <w:color w:val="FF0000"/>
    </w:rPr>
  </w:style>
  <w:style w:type="paragraph" w:styleId="Citao2" w:customStyle="1">
    <w:name w:val="citação 2"/>
    <w:basedOn w:val="Quote"/>
    <w:qFormat/>
    <w:rsid w:val="00dc41dd"/>
    <w:pPr>
      <w:shd w:val="clear" w:fill="FFFFCC"/>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LONormal" w:customStyle="1">
    <w:name w:val="LO-Normal"/>
    <w:qFormat/>
    <w:pPr>
      <w:widowControl w:val="false"/>
      <w:suppressAutoHyphens w:val="true"/>
      <w:bidi w:val="0"/>
      <w:jc w:val="left"/>
    </w:pPr>
    <w:rPr>
      <w:rFonts w:ascii="Times New Roman" w:hAnsi="Times New Roman" w:eastAsia="ＭＳ 明朝" w:cs="Times New Roman" w:eastAsiaTheme="minorEastAsia"/>
      <w:color w:val="auto"/>
      <w:kern w:val="0"/>
      <w:sz w:val="24"/>
      <w:szCs w:val="20"/>
      <w:lang w:val="pt-BR" w:eastAsia="en-US" w:bidi="ar-SA"/>
    </w:rPr>
  </w:style>
  <w:style w:type="paragraph" w:styleId="LONormal1">
    <w:name w:val="LO-Normal1"/>
    <w:basedOn w:val="LONormal"/>
    <w:qFormat/>
    <w:pPr>
      <w:spacing w:before="0" w:after="0"/>
      <w:contextualSpacing/>
      <w:jc w:val="center"/>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247CEBEC-9F42-465F-B67E-C907E5D68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Application>LibreOffice/6.0.7.3$Linux_X86_64 LibreOffice_project/00m0$Build-3</Application>
  <Pages>11</Pages>
  <Words>3794</Words>
  <Characters>21165</Characters>
  <CharactersWithSpaces>24812</CharactersWithSpaces>
  <Paragraphs>179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2024-10-31T10:57:04Z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